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22"/>
        <w:gridCol w:w="6258"/>
      </w:tblGrid>
      <w:tr w:rsidR="00BF488D" w:rsidTr="00B87572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22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58" w:type="dxa"/>
            <w:shd w:val="clear" w:color="auto" w:fill="auto"/>
            <w:vAlign w:val="bottom"/>
          </w:tcPr>
          <w:p w:rsidR="00BF488D" w:rsidRDefault="00BF488D" w:rsidP="00114B5E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D25191">
              <w:rPr>
                <w:rFonts w:ascii="Arial" w:eastAsia="Arial" w:hAnsi="Arial"/>
                <w:b/>
                <w:sz w:val="22"/>
              </w:rPr>
              <w:t>S</w:t>
            </w:r>
            <w:r w:rsidR="00027944">
              <w:rPr>
                <w:rFonts w:ascii="Arial" w:eastAsia="Arial" w:hAnsi="Arial"/>
                <w:b/>
                <w:sz w:val="22"/>
              </w:rPr>
              <w:t>S.</w:t>
            </w:r>
            <w:r w:rsidR="00EE41B3">
              <w:rPr>
                <w:rFonts w:ascii="Arial" w:eastAsia="Arial" w:hAnsi="Arial"/>
                <w:b/>
                <w:sz w:val="22"/>
              </w:rPr>
              <w:t>0</w:t>
            </w:r>
            <w:r w:rsidR="00C42622">
              <w:rPr>
                <w:rFonts w:ascii="Arial" w:eastAsia="Arial" w:hAnsi="Arial"/>
                <w:b/>
                <w:sz w:val="22"/>
              </w:rPr>
              <w:t>1</w:t>
            </w:r>
          </w:p>
        </w:tc>
      </w:tr>
      <w:tr w:rsidR="00BF488D" w:rsidTr="00B87572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2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AE4EB2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Pr="00A0314B" w:rsidRDefault="00D25191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b/>
                <w:noProof/>
              </w:rPr>
              <w:t>S</w:t>
            </w:r>
            <w:r w:rsidR="00042BB6">
              <w:rPr>
                <w:b/>
                <w:noProof/>
              </w:rPr>
              <w:t>S.0</w:t>
            </w:r>
            <w:r w:rsidR="00C42622">
              <w:rPr>
                <w:b/>
                <w:noProof/>
              </w:rPr>
              <w:t>1</w:t>
            </w:r>
            <w:r w:rsidR="00A11F01">
              <w:rPr>
                <w:b/>
                <w:noProof/>
              </w:rPr>
              <w:t xml:space="preserve"> </w:t>
            </w:r>
            <w:r w:rsidR="00871276">
              <w:rPr>
                <w:b/>
                <w:noProof/>
              </w:rPr>
              <w:t>–</w:t>
            </w:r>
            <w:r w:rsidR="00A11F01">
              <w:rPr>
                <w:b/>
                <w:noProof/>
              </w:rPr>
              <w:t xml:space="preserve"> </w:t>
            </w:r>
            <w:r w:rsidR="00C42622">
              <w:rPr>
                <w:b/>
                <w:iCs/>
              </w:rPr>
              <w:t>Potenziamento dei servizi sanitari di prossimità – PES – PUNTI EROGAZIONE SERVIZI</w:t>
            </w:r>
          </w:p>
          <w:p w:rsidR="00BF488D" w:rsidRPr="00A11F01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F488D" w:rsidTr="00B8757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B8757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AE4EB2">
              <w:rPr>
                <w:rFonts w:ascii="Arial" w:eastAsia="Arial" w:hAnsi="Arial"/>
                <w:b/>
                <w:sz w:val="16"/>
              </w:rPr>
              <w:t>2</w:t>
            </w: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C42622">
              <w:rPr>
                <w:rFonts w:ascii="Arial" w:eastAsia="Arial" w:hAnsi="Arial"/>
                <w:b/>
                <w:sz w:val="16"/>
              </w:rPr>
              <w:t>230</w:t>
            </w:r>
            <w:r w:rsidR="00042BB6">
              <w:rPr>
                <w:rFonts w:ascii="Arial" w:eastAsia="Arial" w:hAnsi="Arial"/>
                <w:b/>
                <w:sz w:val="16"/>
              </w:rPr>
              <w:t>.000,00</w:t>
            </w:r>
          </w:p>
          <w:p w:rsidR="00E566D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LEGGE DI STABILITA’</w:t>
            </w:r>
          </w:p>
          <w:p w:rsidR="00114B5E" w:rsidRPr="00114B5E" w:rsidRDefault="00114B5E" w:rsidP="00A11F01">
            <w:pPr>
              <w:spacing w:line="177" w:lineRule="exact"/>
              <w:ind w:left="60"/>
              <w:rPr>
                <w:rFonts w:ascii="Arial" w:eastAsia="Arial" w:hAnsi="Arial"/>
                <w:i/>
                <w:sz w:val="16"/>
              </w:rPr>
            </w:pPr>
          </w:p>
        </w:tc>
      </w:tr>
      <w:tr w:rsidR="00BF488D" w:rsidTr="00B87572">
        <w:trPr>
          <w:trHeight w:val="9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AD72AE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E4EB2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AD72AE" w:rsidRDefault="00C42622" w:rsidP="00C2605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t>Potenziamento di alcuni PES esistenti attraverso opere di ristrutturazione edilizia e fornitura di arredi e attrezzature mediche</w:t>
            </w:r>
          </w:p>
        </w:tc>
      </w:tr>
      <w:tr w:rsidR="00AD72AE" w:rsidTr="00B8757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B87572">
        <w:trPr>
          <w:trHeight w:val="6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F488D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E4EB2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E614D" w:rsidP="002C757B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E614D">
              <w:rPr>
                <w:rFonts w:ascii="Arial" w:eastAsia="Arial" w:hAnsi="Arial"/>
                <w:b/>
                <w:sz w:val="16"/>
              </w:rPr>
              <w:t>F68F20000230003</w:t>
            </w:r>
            <w:bookmarkStart w:id="0" w:name="_GoBack"/>
            <w:bookmarkEnd w:id="0"/>
          </w:p>
        </w:tc>
      </w:tr>
      <w:tr w:rsidR="00BF488D" w:rsidTr="00B87572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E4EB2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042BB6" w:rsidRDefault="00C42622" w:rsidP="00C42622">
            <w:pPr>
              <w:spacing w:line="176" w:lineRule="exact"/>
              <w:ind w:left="60"/>
              <w:rPr>
                <w:rFonts w:ascii="Arial" w:eastAsia="Arial" w:hAnsi="Arial"/>
                <w:sz w:val="16"/>
              </w:rPr>
            </w:pPr>
            <w:r>
              <w:rPr>
                <w:iCs/>
              </w:rPr>
              <w:t xml:space="preserve">Comuni di </w:t>
            </w:r>
            <w:r>
              <w:rPr>
                <w:i/>
                <w:iCs/>
              </w:rPr>
              <w:t>Scheggino, Monteleone di Spoleto, Cerreto di Spoleto, Preci, Sellano e Arrone</w:t>
            </w:r>
          </w:p>
        </w:tc>
      </w:tr>
      <w:tr w:rsidR="00BF488D" w:rsidTr="00B8757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B87572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AB4E7D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Default="00AE4EB2" w:rsidP="00680B25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AB4E7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E4EB2" w:rsidRPr="00AE4EB2" w:rsidRDefault="00AE4EB2" w:rsidP="002C75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EB2">
              <w:rPr>
                <w:b/>
              </w:rPr>
              <w:t>Coerenza programmatica</w:t>
            </w:r>
          </w:p>
          <w:p w:rsidR="00AE4EB2" w:rsidRPr="00A0314B" w:rsidRDefault="00C42622" w:rsidP="002C757B">
            <w:pPr>
              <w:autoSpaceDE w:val="0"/>
              <w:autoSpaceDN w:val="0"/>
              <w:adjustRightInd w:val="0"/>
              <w:jc w:val="both"/>
            </w:pPr>
            <w:r>
              <w:t xml:space="preserve">La strategia dell’Area ha fondato la </w:t>
            </w:r>
            <w:r w:rsidR="00480DC7">
              <w:t>sua idea guida s</w:t>
            </w:r>
            <w:r>
              <w:t>ull’”accessibilità”</w:t>
            </w:r>
            <w:r w:rsidR="00480DC7">
              <w:t xml:space="preserve">, </w:t>
            </w:r>
            <w:r>
              <w:t xml:space="preserve">sia </w:t>
            </w:r>
            <w:r w:rsidR="00480DC7">
              <w:t>materiale che immateriale</w:t>
            </w:r>
            <w:r w:rsidR="00A54088">
              <w:t>,</w:t>
            </w:r>
            <w:r w:rsidR="00480DC7">
              <w:t xml:space="preserve"> </w:t>
            </w:r>
            <w:r w:rsidR="00A54088">
              <w:t>ne</w:t>
            </w:r>
            <w:r w:rsidR="00480DC7">
              <w:t>lla consapevolezza che anche i servizi debbano essere accessibili a tutti. In questo caso</w:t>
            </w:r>
            <w:r w:rsidR="00A54088">
              <w:t>,</w:t>
            </w:r>
            <w:r w:rsidR="00480DC7">
              <w:t xml:space="preserve"> i servizi sanitari dovranno essere migliorati per essere fruibili da tutti e dovranno rispondere ad una migliore e maggiore offerta di prestazioni. In questo senso l’intervento prevede il potenziamento dei PES </w:t>
            </w:r>
            <w:r w:rsidR="00480DC7" w:rsidRPr="0093493C">
              <w:t>esistenti nell’Area</w:t>
            </w:r>
            <w:r w:rsidR="00480DC7" w:rsidRPr="0093493C">
              <w:rPr>
                <w:b/>
              </w:rPr>
              <w:t>,</w:t>
            </w:r>
            <w:r w:rsidR="00480DC7" w:rsidRPr="0093493C">
              <w:t xml:space="preserve"> dove si intende </w:t>
            </w:r>
            <w:r w:rsidR="00480DC7">
              <w:t xml:space="preserve">sia </w:t>
            </w:r>
            <w:r w:rsidR="00480DC7" w:rsidRPr="0093493C">
              <w:t>mantenere l’erogazione dei servizi esistenti</w:t>
            </w:r>
            <w:r w:rsidR="00480DC7">
              <w:t xml:space="preserve"> che fornirne altri non presenti, puntando al contempo ad una </w:t>
            </w:r>
            <w:r w:rsidR="00480DC7" w:rsidRPr="0093493C">
              <w:t>maggiore qualità derivante dagli in</w:t>
            </w:r>
            <w:r w:rsidR="00480DC7">
              <w:t xml:space="preserve">vestimenti proposti. Si evidenzia come tale intervento si integra con altri interventi programmati e con le risorse umane presenti nell’area. In questo contesto il potenziamento dei PES si aggiunge e integra </w:t>
            </w:r>
            <w:r w:rsidR="00480DC7" w:rsidRPr="0093493C">
              <w:t>la presa in</w:t>
            </w:r>
            <w:r w:rsidR="005F0964">
              <w:t xml:space="preserve"> </w:t>
            </w:r>
            <w:r w:rsidR="00480DC7" w:rsidRPr="0093493C">
              <w:t>carico dei pazienti affetti da patologie croniche attraverso l'infermiere di comunità, il medico di medicina generale e gli specialisti in rete, utilizzando i dispositivi della telemedicina</w:t>
            </w:r>
            <w:r w:rsidR="00480DC7">
              <w:t>.</w:t>
            </w:r>
          </w:p>
          <w:p w:rsidR="00AE4EB2" w:rsidRDefault="00AE4EB2" w:rsidP="002C757B">
            <w:pPr>
              <w:autoSpaceDE w:val="0"/>
              <w:autoSpaceDN w:val="0"/>
              <w:adjustRightInd w:val="0"/>
              <w:jc w:val="both"/>
            </w:pPr>
          </w:p>
          <w:p w:rsidR="00AE4EB2" w:rsidRPr="00AE4EB2" w:rsidRDefault="00AE4EB2" w:rsidP="002C75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EB2">
              <w:rPr>
                <w:b/>
              </w:rPr>
              <w:t>Contestualizzazione</w:t>
            </w:r>
          </w:p>
          <w:p w:rsidR="00044CDC" w:rsidRDefault="00044CDC" w:rsidP="00044CDC">
            <w:pPr>
              <w:autoSpaceDE w:val="0"/>
              <w:jc w:val="both"/>
            </w:pPr>
            <w:r>
              <w:t>Attualmente i  PES presenti nell’Area sono 10 e svolgono le attività</w:t>
            </w:r>
            <w:r w:rsidR="004F4520">
              <w:t xml:space="preserve"> di seguito descritte.</w:t>
            </w:r>
            <w:r>
              <w:t xml:space="preserve"> </w:t>
            </w:r>
          </w:p>
          <w:p w:rsidR="00044CDC" w:rsidRDefault="00044CDC" w:rsidP="00044CDC">
            <w:pPr>
              <w:autoSpaceDE w:val="0"/>
              <w:jc w:val="both"/>
            </w:pPr>
            <w:r w:rsidRPr="00044CDC">
              <w:t>Nel PES di CERRETO DI SPOLETO</w:t>
            </w:r>
            <w:r>
              <w:t xml:space="preserve"> si effettuano vaccinazioni 1 volta al mese;</w:t>
            </w:r>
          </w:p>
          <w:p w:rsidR="00044CDC" w:rsidRPr="00CB0A11" w:rsidRDefault="00044CDC" w:rsidP="00044CDC">
            <w:pPr>
              <w:autoSpaceDE w:val="0"/>
              <w:jc w:val="both"/>
            </w:pPr>
            <w:r>
              <w:t xml:space="preserve">certificazioni 2 volte al mese; prelievi 1 volta a settimana; screening consultorio 1 volta al mese. E’ presente il medico di continuità assistenziale (15 gg al mese) e si svolgono le seguenti prestazioni: servizio di </w:t>
            </w:r>
            <w:r w:rsidRPr="0093493C">
              <w:t>CUP 1 volta settimana</w:t>
            </w:r>
            <w:r>
              <w:t xml:space="preserve"> </w:t>
            </w:r>
            <w:r w:rsidRPr="0093493C">
              <w:t>(Fino alle ore 16.00)</w:t>
            </w:r>
            <w:r>
              <w:t xml:space="preserve">; Fisiatra  due volte al mese; </w:t>
            </w:r>
            <w:r w:rsidRPr="0093493C">
              <w:t>Fisioterapista due volte settimana</w:t>
            </w:r>
            <w:r>
              <w:t xml:space="preserve">; </w:t>
            </w:r>
            <w:r w:rsidRPr="0093493C">
              <w:t>Logopedista una volta settimana</w:t>
            </w:r>
            <w:r>
              <w:t>; O</w:t>
            </w:r>
            <w:r w:rsidRPr="0093493C">
              <w:t xml:space="preserve">dontoiatria protesica e ortodonzia una volta settimana </w:t>
            </w:r>
          </w:p>
          <w:p w:rsidR="00044CDC" w:rsidRDefault="004F4520" w:rsidP="004F4520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 xml:space="preserve">BORGO CERRETO </w:t>
            </w:r>
            <w:r>
              <w:t>si effettuano attività specialistiche relative alla c</w:t>
            </w:r>
            <w:r w:rsidR="00044CDC">
              <w:t>ardiologia 1 volta settimana</w:t>
            </w:r>
            <w:r>
              <w:t>; all’o</w:t>
            </w:r>
            <w:r w:rsidR="00044CDC">
              <w:t>culista 1 volta settimana</w:t>
            </w:r>
            <w:r>
              <w:t>; alla d</w:t>
            </w:r>
            <w:r w:rsidR="00044CDC">
              <w:t>ermatologia 1 volta settimana</w:t>
            </w:r>
            <w:r>
              <w:t>; all’Otorinolaringoiatria con l’</w:t>
            </w:r>
            <w:r w:rsidR="00044CDC">
              <w:t>Otorino dott</w:t>
            </w:r>
            <w:r>
              <w:t>. Stroppa,</w:t>
            </w:r>
            <w:r w:rsidR="00044CDC">
              <w:t xml:space="preserve"> 1 volta settimana</w:t>
            </w:r>
            <w:r>
              <w:t xml:space="preserve"> e l’</w:t>
            </w:r>
            <w:r w:rsidR="00044CDC">
              <w:t>Otorino Dott.ssa Castellani</w:t>
            </w:r>
            <w:r>
              <w:t>,</w:t>
            </w:r>
            <w:r w:rsidR="00044CDC">
              <w:t xml:space="preserve"> 2 volte al</w:t>
            </w:r>
            <w:r>
              <w:t xml:space="preserve"> </w:t>
            </w:r>
            <w:r w:rsidR="00044CDC">
              <w:t>mese</w:t>
            </w:r>
            <w:r>
              <w:t xml:space="preserve">; </w:t>
            </w:r>
          </w:p>
          <w:p w:rsidR="00044CDC" w:rsidRDefault="004F4520" w:rsidP="004F4520">
            <w:pPr>
              <w:autoSpaceDE w:val="0"/>
              <w:jc w:val="both"/>
            </w:pPr>
            <w:r>
              <w:t xml:space="preserve">alla medicina generale con presenza del </w:t>
            </w:r>
            <w:r w:rsidR="00044CDC">
              <w:t>MMG</w:t>
            </w:r>
            <w:r>
              <w:t>,</w:t>
            </w:r>
            <w:r w:rsidR="00044CDC">
              <w:t xml:space="preserve"> 1 volta settimana</w:t>
            </w:r>
            <w:r>
              <w:t xml:space="preserve"> e alla pediatria con presenza del </w:t>
            </w:r>
            <w:r w:rsidR="00044CDC">
              <w:t>PLS 3 volte settimana</w:t>
            </w:r>
            <w:r>
              <w:t>.</w:t>
            </w:r>
          </w:p>
          <w:p w:rsidR="00044CDC" w:rsidRDefault="004F4520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 xml:space="preserve">PRECI </w:t>
            </w:r>
            <w:r w:rsidRPr="004F4520">
              <w:t>si effettuano p</w:t>
            </w:r>
            <w:r>
              <w:t>relievi 1 volta a settimana e a</w:t>
            </w:r>
            <w:r w:rsidR="00044CDC">
              <w:t>mbulator</w:t>
            </w:r>
            <w:r>
              <w:t>io medico di medicina generale.</w:t>
            </w:r>
          </w:p>
          <w:p w:rsidR="00044CDC" w:rsidRDefault="004F4520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>MONTELEONE</w:t>
            </w:r>
            <w:r>
              <w:t xml:space="preserve"> DI SPOLETO si effettuano p</w:t>
            </w:r>
            <w:r w:rsidR="00044CDC">
              <w:t>relievi 1 volta a settimana;</w:t>
            </w:r>
            <w:r>
              <w:t xml:space="preserve"> si ha la presenza del </w:t>
            </w:r>
            <w:r w:rsidR="00044CDC">
              <w:t xml:space="preserve">Medico </w:t>
            </w:r>
            <w:r>
              <w:t xml:space="preserve">di </w:t>
            </w:r>
            <w:r w:rsidR="00044CDC">
              <w:t>continuità assistenziale tutti i giorni;</w:t>
            </w:r>
            <w:r>
              <w:t xml:space="preserve"> si effettua a</w:t>
            </w:r>
            <w:r w:rsidR="00044CDC">
              <w:t>mbulato</w:t>
            </w:r>
            <w:r>
              <w:t xml:space="preserve">rio medico di medicina generale e di pediatria con il </w:t>
            </w:r>
            <w:r w:rsidR="00044CDC">
              <w:t xml:space="preserve">PLS 1 </w:t>
            </w:r>
            <w:r>
              <w:t>volta settimana.</w:t>
            </w:r>
          </w:p>
          <w:p w:rsidR="00044CDC" w:rsidRDefault="004F4520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 xml:space="preserve">VALLO DI NERA </w:t>
            </w:r>
            <w:r>
              <w:t>si svolge il p</w:t>
            </w:r>
            <w:r w:rsidR="00044CDC">
              <w:t>unto prelievi 1 volta settimana</w:t>
            </w:r>
            <w:r>
              <w:t xml:space="preserve"> e il servizio di </w:t>
            </w:r>
            <w:r w:rsidR="00044CDC">
              <w:t>CUP 1 volta settimana</w:t>
            </w:r>
            <w:r>
              <w:t>; è presente il m</w:t>
            </w:r>
            <w:r w:rsidR="00044CDC">
              <w:t xml:space="preserve">edico </w:t>
            </w:r>
            <w:r w:rsidR="00A54088">
              <w:t xml:space="preserve">di </w:t>
            </w:r>
            <w:r w:rsidR="00044CDC">
              <w:t>continuità assistenziale (ogni week end Diurno)</w:t>
            </w:r>
            <w:r>
              <w:t xml:space="preserve"> e il </w:t>
            </w:r>
            <w:r w:rsidR="00044CDC">
              <w:t>MMG 3 volta settimana</w:t>
            </w:r>
            <w:r>
              <w:t>.</w:t>
            </w:r>
          </w:p>
          <w:p w:rsidR="00044CDC" w:rsidRDefault="004F4520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 xml:space="preserve">S.ANATOLIA DI NARCO </w:t>
            </w:r>
            <w:r>
              <w:t>si svolge il p</w:t>
            </w:r>
            <w:r w:rsidR="00044CDC">
              <w:t xml:space="preserve">unto prelievi 1 volta </w:t>
            </w:r>
            <w:r w:rsidR="00044CDC">
              <w:lastRenderedPageBreak/>
              <w:t>settimana</w:t>
            </w:r>
            <w:r w:rsidR="00E248ED">
              <w:t xml:space="preserve">, il servizio di </w:t>
            </w:r>
            <w:r w:rsidR="00044CDC">
              <w:t>CUP 1 volta settimana</w:t>
            </w:r>
            <w:r w:rsidR="00E248ED">
              <w:t xml:space="preserve"> e si ha la presenza del M</w:t>
            </w:r>
            <w:r w:rsidR="00044CDC">
              <w:t>MG 2 volte settimana</w:t>
            </w:r>
            <w:r w:rsidR="00E248ED">
              <w:t>.</w:t>
            </w:r>
          </w:p>
          <w:p w:rsidR="00044CDC" w:rsidRPr="004F4520" w:rsidRDefault="00E248ED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>SELLANO</w:t>
            </w:r>
            <w:r>
              <w:t xml:space="preserve"> si effettua il S</w:t>
            </w:r>
            <w:r w:rsidR="00044CDC">
              <w:t>ervizio Infermieristico ambulatoriale (prelievi -terapia - medicazioni) 6 giorni a settimana</w:t>
            </w:r>
            <w:r>
              <w:t xml:space="preserve">; il servizio di </w:t>
            </w:r>
            <w:r w:rsidR="00044CDC">
              <w:t>CUP (prenotazioni, scelta e revoca del medico etc.) 1 volta a settimana</w:t>
            </w:r>
            <w:r>
              <w:t xml:space="preserve">; le </w:t>
            </w:r>
            <w:r w:rsidR="00044CDC">
              <w:t xml:space="preserve"> Vaccinazioni obbligatorie e non 1 volta a settimana</w:t>
            </w:r>
            <w:r>
              <w:t xml:space="preserve">; si rilasciano </w:t>
            </w:r>
            <w:r w:rsidR="00044CDC">
              <w:t xml:space="preserve"> Autorizzazioni (Presidi per diabete, incontinenza, alimenti, materiale da medicazione) 1 volta al mese</w:t>
            </w:r>
            <w:r>
              <w:t>; si effettuano c</w:t>
            </w:r>
            <w:r w:rsidR="00044CDC">
              <w:t>ure Domiciliari (prestazioni infermieristiche/mediche/riabilitative specialistiche/ domiciliari) 6 giorni a settimana</w:t>
            </w:r>
            <w:r>
              <w:t>.</w:t>
            </w:r>
          </w:p>
          <w:p w:rsidR="00044CDC" w:rsidRDefault="00E248ED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>SCHEGGINO</w:t>
            </w:r>
            <w:r>
              <w:t xml:space="preserve"> effettua c</w:t>
            </w:r>
            <w:r w:rsidR="00044CDC">
              <w:t>ertificazioni 2 volte al mese</w:t>
            </w:r>
            <w:r>
              <w:t>; p</w:t>
            </w:r>
            <w:r w:rsidR="00044CDC">
              <w:t>relievi 1 volta a settimana</w:t>
            </w:r>
            <w:r>
              <w:t>; screening consultorio</w:t>
            </w:r>
            <w:r w:rsidR="00044CDC">
              <w:t xml:space="preserve"> 1 volta al mese</w:t>
            </w:r>
            <w:r>
              <w:t>; v</w:t>
            </w:r>
            <w:r w:rsidR="00044CDC">
              <w:t>accinazioni 1 volta al mese</w:t>
            </w:r>
            <w:r>
              <w:t>; servizio di C</w:t>
            </w:r>
            <w:r w:rsidR="00044CDC">
              <w:t>UP 1 volta a settimana</w:t>
            </w:r>
            <w:r>
              <w:t>; è presente il P</w:t>
            </w:r>
            <w:r w:rsidR="00044CDC">
              <w:t>LS 1 volta settimana</w:t>
            </w:r>
          </w:p>
          <w:p w:rsidR="00044CDC" w:rsidRDefault="00E248ED" w:rsidP="00044CDC">
            <w:pPr>
              <w:autoSpaceDE w:val="0"/>
              <w:jc w:val="both"/>
            </w:pPr>
            <w:r w:rsidRPr="004F4520">
              <w:t xml:space="preserve">Nel PES di </w:t>
            </w:r>
            <w:r w:rsidR="00044CDC" w:rsidRPr="004F4520">
              <w:t>ARRONE</w:t>
            </w:r>
            <w:r>
              <w:t xml:space="preserve"> si effettuano p</w:t>
            </w:r>
            <w:r w:rsidR="00044CDC">
              <w:t>relievi 4 volte a settimana</w:t>
            </w:r>
            <w:r>
              <w:t xml:space="preserve">; </w:t>
            </w:r>
            <w:r w:rsidR="00044CDC">
              <w:t>Vaccinazioni 1 volta a settimana</w:t>
            </w:r>
            <w:r>
              <w:t xml:space="preserve">; servizio di </w:t>
            </w:r>
            <w:r w:rsidR="00044CDC">
              <w:t>CUP 5 volte a settimana</w:t>
            </w:r>
            <w:r>
              <w:t>.</w:t>
            </w:r>
          </w:p>
          <w:p w:rsidR="00044CDC" w:rsidRPr="004F4520" w:rsidRDefault="00044CDC" w:rsidP="00044CDC">
            <w:pPr>
              <w:autoSpaceDE w:val="0"/>
              <w:jc w:val="both"/>
            </w:pPr>
            <w:r>
              <w:t xml:space="preserve">Nel PES di Arrone è stata attivata recentemente </w:t>
            </w:r>
            <w:r w:rsidRPr="004F4520">
              <w:t>un’Aggregazione Funzionale Territoriale (AFT).</w:t>
            </w:r>
          </w:p>
          <w:p w:rsidR="00044CDC" w:rsidRDefault="00044CDC" w:rsidP="00044CDC">
            <w:pPr>
              <w:autoSpaceDE w:val="0"/>
              <w:jc w:val="both"/>
            </w:pPr>
            <w:r>
              <w:t xml:space="preserve">Oltre ai </w:t>
            </w:r>
            <w:r w:rsidRPr="004F4520">
              <w:t>PES</w:t>
            </w:r>
            <w:r>
              <w:t xml:space="preserve"> sopra elencati, all’interno dell’Area Interna ci sono i PES di Norcia e Cascia che hanno una programmazione stabilita</w:t>
            </w:r>
            <w:r w:rsidRPr="0093493C">
              <w:t xml:space="preserve"> e dove è stata attivata, con due ambulatori distinti, l'Aggregazione Funzionale territoriale dei MMG (AFT)</w:t>
            </w:r>
            <w:r w:rsidR="00E248ED">
              <w:t>.</w:t>
            </w:r>
          </w:p>
          <w:p w:rsidR="00E248ED" w:rsidRDefault="001B4FF5" w:rsidP="00044CDC">
            <w:pPr>
              <w:autoSpaceDE w:val="0"/>
              <w:jc w:val="both"/>
            </w:pPr>
            <w:r>
              <w:t>Con l’intervento si intende superare una delle  criticità rilevate</w:t>
            </w:r>
            <w:r w:rsidR="006A1B8B">
              <w:t>,</w:t>
            </w:r>
            <w:r>
              <w:t xml:space="preserve"> riguardante il sistema socio sanitario dell’area, ovvero la carenza di servizi sanitari di prossimità e la carenza, in termini di presenza sui territori più marginali, di medici di base in relazione all'alto tasso di ospedalizzazione. I dati confermano questa carenza, infatti il numero di prestazioni specialistiche ambulatoriali erogate all’interno dell’area è pari 1237 ogni 1000 residenti a fronte delle 3021 prestazioni ogni 1000 abitanti della media regionale.</w:t>
            </w:r>
          </w:p>
          <w:p w:rsidR="001B4FF5" w:rsidRDefault="001B4FF5" w:rsidP="001B4FF5">
            <w:pPr>
              <w:autoSpaceDE w:val="0"/>
              <w:snapToGrid w:val="0"/>
              <w:jc w:val="both"/>
            </w:pPr>
            <w:r>
              <w:t>Ciascuno d</w:t>
            </w:r>
            <w:r w:rsidR="004A79C6">
              <w:t>ei PES esistenti risponde ad un</w:t>
            </w:r>
            <w:r>
              <w:t xml:space="preserve"> relativo bacino di utenti in base alla seguente localizzazione: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Scheggino a servizio della popolazione di Scheggino, Santa Anatolia di Narco e Vallo di Nera;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S.</w:t>
            </w:r>
            <w:r w:rsidR="00DC3388">
              <w:t xml:space="preserve"> </w:t>
            </w:r>
            <w:r>
              <w:t>Anatolia di Narco a servizio della popolazione di Scheggino, Santa Anatolia di Narco e Vallo di Nera;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Vallo di Nera a servizio della popolazione di Scheggino, Santa Anatolia di Narco e Vallo di Nera;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Monteleone di Spoleto a servizio della popolazione di Monteleone di Spoleto e Poggiodomo;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Cerreto di Spoleto a servizio della popolazione dei Comuni di Cerreto di Spoleto;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Sellano a servizio della popolazione del Comune di Sellano;</w:t>
            </w:r>
          </w:p>
          <w:p w:rsidR="001B4FF5" w:rsidRDefault="001B4FF5" w:rsidP="001B4FF5">
            <w:pPr>
              <w:autoSpaceDE w:val="0"/>
              <w:jc w:val="both"/>
            </w:pPr>
            <w:r>
              <w:t>PES di Preci solamente a servizio della popolazione del Comune medesimo;</w:t>
            </w:r>
          </w:p>
          <w:p w:rsidR="00AB4E7D" w:rsidRPr="00017EA4" w:rsidRDefault="001B4FF5" w:rsidP="001B4FF5">
            <w:pPr>
              <w:autoSpaceDE w:val="0"/>
              <w:jc w:val="both"/>
              <w:rPr>
                <w:color w:val="0070C0"/>
              </w:rPr>
            </w:pPr>
            <w:r>
              <w:t>PES di Arrone a servizio della popolazione dei Comuni di Arrone, Ferentillo, Montefranco e Polino.</w:t>
            </w:r>
          </w:p>
        </w:tc>
      </w:tr>
      <w:tr w:rsidR="00AB4E7D" w:rsidTr="00B87572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C23CB3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</w:tr>
      <w:tr w:rsidR="00AB4E7D" w:rsidTr="00B87572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B87572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E4EB2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2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AD72AE" w:rsidRDefault="00BF488D" w:rsidP="00AD72AE">
            <w:pPr>
              <w:spacing w:line="179" w:lineRule="exact"/>
              <w:ind w:left="60"/>
            </w:pPr>
            <w:r w:rsidRPr="00AD72AE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AD72AE">
              <w:rPr>
                <w:rFonts w:ascii="Arial" w:eastAsia="Arial" w:hAnsi="Arial"/>
                <w:b/>
                <w:sz w:val="16"/>
              </w:rPr>
              <w:t xml:space="preserve"> della relazione tecnica)</w:t>
            </w:r>
            <w:r w:rsidR="00AB4E7D" w:rsidRPr="00AD72AE">
              <w:t xml:space="preserve"> </w:t>
            </w:r>
          </w:p>
        </w:tc>
        <w:tc>
          <w:tcPr>
            <w:tcW w:w="625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A79C6" w:rsidRPr="00DB3D05" w:rsidRDefault="001B4FF5" w:rsidP="001B4FF5">
            <w:pPr>
              <w:autoSpaceDE w:val="0"/>
              <w:snapToGrid w:val="0"/>
              <w:jc w:val="both"/>
            </w:pPr>
            <w:r>
              <w:t>L’intervento consiste nel potenziamento e miglioramento di alcuni dei PES esistenti sopra richiamati. Con l’intervento si intende adeguare e migliorare i PES che presentano alcune carenze, a volte di tipo strutturale e igienico-sanitario a volte dal punto di vista degli arre</w:t>
            </w:r>
            <w:r w:rsidR="006755A5">
              <w:t>di e delle attrezzature mediche</w:t>
            </w:r>
            <w:r>
              <w:t xml:space="preserve"> </w:t>
            </w:r>
            <w:r w:rsidR="006755A5" w:rsidRPr="00DB3D05">
              <w:t>per determinare un miglioramento delle prestazioni rese ed un ambiente lavorativo più adeguato alle prestazioni sanitarie. Nel corso degli anni i PES, per mancanza di interventi strutturali ed igienico</w:t>
            </w:r>
            <w:r w:rsidR="000D7D99" w:rsidRPr="00DB3D05">
              <w:t>-sanitari, in particolare i più periferici</w:t>
            </w:r>
            <w:r w:rsidR="006A1B8B" w:rsidRPr="00DB3D05">
              <w:t>,</w:t>
            </w:r>
            <w:r w:rsidR="000D7D99" w:rsidRPr="00DB3D05">
              <w:t xml:space="preserve"> non hanno avuto investimenti complessivi basati su una programmazione complessiva</w:t>
            </w:r>
            <w:r w:rsidR="006A1B8B" w:rsidRPr="00DB3D05">
              <w:t>,</w:t>
            </w:r>
            <w:r w:rsidR="000D7D99" w:rsidRPr="00DB3D05">
              <w:t xml:space="preserve"> vuoi per carenza di risorse economiche</w:t>
            </w:r>
            <w:r w:rsidR="006A1B8B" w:rsidRPr="00DB3D05">
              <w:t>,</w:t>
            </w:r>
            <w:r w:rsidR="000D7D99" w:rsidRPr="00DB3D05">
              <w:t xml:space="preserve"> vuoi per destina</w:t>
            </w:r>
            <w:r w:rsidR="004A79C6" w:rsidRPr="00DB3D05">
              <w:t>zione delle risorse sui Presidi Ospedalieri.</w:t>
            </w:r>
          </w:p>
          <w:p w:rsidR="00021BFA" w:rsidRPr="00DB3D05" w:rsidRDefault="00021BFA" w:rsidP="001B4FF5">
            <w:pPr>
              <w:autoSpaceDE w:val="0"/>
              <w:snapToGrid w:val="0"/>
              <w:jc w:val="both"/>
            </w:pPr>
            <w:r w:rsidRPr="00DB3D05">
              <w:t xml:space="preserve"> Si consideri, poi, che alcune sedi sono provvisorie, dopo il sisma del 2016</w:t>
            </w:r>
          </w:p>
          <w:p w:rsidR="001B4FF5" w:rsidRDefault="00021BFA" w:rsidP="001B4FF5">
            <w:pPr>
              <w:autoSpaceDE w:val="0"/>
              <w:snapToGrid w:val="0"/>
              <w:jc w:val="both"/>
              <w:rPr>
                <w:color w:val="FF0000"/>
              </w:rPr>
            </w:pPr>
            <w:r w:rsidRPr="00DB3D05">
              <w:t xml:space="preserve"> ( Scheggino, Vallo di Nera, C</w:t>
            </w:r>
            <w:r w:rsidR="00EB656D" w:rsidRPr="00DB3D05">
              <w:t>erreto, Preci)</w:t>
            </w:r>
            <w:r w:rsidR="00C23D4D" w:rsidRPr="00DB3D05">
              <w:t xml:space="preserve">. </w:t>
            </w:r>
            <w:r w:rsidR="00C23D4D" w:rsidRPr="000A2EEF">
              <w:t xml:space="preserve">A tal riguardo, l’AUSL si impegna a trasferire le attrezzature acquistate con i fondi SNAI previsti nella presente </w:t>
            </w:r>
            <w:r w:rsidR="00C23D4D" w:rsidRPr="000A2EEF">
              <w:lastRenderedPageBreak/>
              <w:t xml:space="preserve">scheda </w:t>
            </w:r>
            <w:r w:rsidR="00E5072E" w:rsidRPr="000A2EEF">
              <w:t>dalle sedi provvisorie dei PES a</w:t>
            </w:r>
            <w:r w:rsidR="00C23D4D" w:rsidRPr="000A2EEF">
              <w:t xml:space="preserve"> quelle definitive nel momento in cui queste ultime saranno completate e pronte per erogare i servizi.</w:t>
            </w:r>
          </w:p>
          <w:p w:rsidR="00021BFA" w:rsidRDefault="00021BFA" w:rsidP="001B4FF5">
            <w:pPr>
              <w:autoSpaceDE w:val="0"/>
              <w:snapToGrid w:val="0"/>
              <w:jc w:val="both"/>
              <w:rPr>
                <w:color w:val="FF0000"/>
              </w:rPr>
            </w:pPr>
          </w:p>
          <w:p w:rsidR="001B4FF5" w:rsidRDefault="001B4FF5" w:rsidP="001B4FF5">
            <w:pPr>
              <w:autoSpaceDE w:val="0"/>
              <w:jc w:val="both"/>
            </w:pPr>
            <w:r>
              <w:t>Per l’attuazione dell’intervento si prevedono investimenti sui PES di Scheggino, Monteleone di Spoleto, Cerreto di Spoleto, Sellano, Preci e Arrone.</w:t>
            </w:r>
          </w:p>
          <w:p w:rsidR="001B4FF5" w:rsidRDefault="001B4FF5" w:rsidP="001B4FF5">
            <w:pPr>
              <w:autoSpaceDE w:val="0"/>
              <w:jc w:val="both"/>
            </w:pP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PES DI SCHEGGINO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>Acquisto arredi € 10.000,00</w:t>
            </w:r>
            <w:r w:rsidR="00242CD7" w:rsidRPr="005F3453">
              <w:t>, arredi costituiti da: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Arredamento </w:t>
            </w:r>
            <w:r w:rsidR="00242CD7" w:rsidRPr="005F3453">
              <w:t xml:space="preserve">2 Ambulatori medici composti entrambi da </w:t>
            </w:r>
            <w:r w:rsidRPr="005F3453">
              <w:t>Lettino in acciaio King,</w:t>
            </w:r>
            <w:r w:rsidR="00242CD7" w:rsidRPr="005F3453">
              <w:t xml:space="preserve"> Predellino a</w:t>
            </w:r>
            <w:r w:rsidRPr="005F3453">
              <w:t xml:space="preserve"> due gradini, Paravento a 3 ante in </w:t>
            </w:r>
            <w:proofErr w:type="spellStart"/>
            <w:r w:rsidRPr="005F3453">
              <w:t>trevira</w:t>
            </w:r>
            <w:proofErr w:type="spellEnd"/>
            <w:r w:rsidRPr="005F3453">
              <w:t xml:space="preserve"> azzurra, Sgabello con seduta imbottita, Lampada alogena Simplex su piantana, Sedia Cremona in tessuto blu, Scrivania a 2 cassetti, Contenitore rifiuti, Appendiabiti grigio, Bilancia pesapersone, Carrello a 2 ripiani, Armadio, Armadio porta medicinali </w:t>
            </w:r>
            <w:r w:rsidR="00242CD7" w:rsidRPr="005F3453">
              <w:t xml:space="preserve">( per un costo di </w:t>
            </w:r>
            <w:r w:rsidRPr="005F3453">
              <w:t>€ 4.500,00</w:t>
            </w:r>
            <w:r w:rsidR="00242CD7" w:rsidRPr="005F3453">
              <w:t xml:space="preserve"> cadauno per un totale di € 9.000,00)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>Arreda</w:t>
            </w:r>
            <w:r w:rsidR="00242CD7" w:rsidRPr="005F3453">
              <w:t xml:space="preserve">mento sala d’attesa composto da </w:t>
            </w:r>
            <w:r w:rsidRPr="005F3453">
              <w:t xml:space="preserve">10 sedie </w:t>
            </w:r>
            <w:r w:rsidR="00242CD7" w:rsidRPr="005F3453">
              <w:t xml:space="preserve">per un costo totale di </w:t>
            </w:r>
            <w:r w:rsidRPr="005F3453">
              <w:t>€ 400,00;</w:t>
            </w:r>
            <w:r w:rsidR="00242CD7" w:rsidRPr="005F3453">
              <w:t xml:space="preserve"> </w:t>
            </w:r>
            <w:r w:rsidRPr="005F3453">
              <w:t xml:space="preserve">1 scrivania </w:t>
            </w:r>
            <w:r w:rsidR="00242CD7" w:rsidRPr="005F3453">
              <w:t xml:space="preserve">per un costo totale di </w:t>
            </w:r>
            <w:r w:rsidRPr="005F3453">
              <w:t>€ 300,00;</w:t>
            </w:r>
            <w:r w:rsidR="00242CD7" w:rsidRPr="005F3453">
              <w:t xml:space="preserve"> </w:t>
            </w:r>
            <w:r w:rsidRPr="005F3453">
              <w:t xml:space="preserve">1 armadio </w:t>
            </w:r>
            <w:r w:rsidR="00242CD7" w:rsidRPr="005F3453">
              <w:t xml:space="preserve">per un costo totale di </w:t>
            </w:r>
            <w:r w:rsidRPr="005F3453">
              <w:t>€ 300,00</w:t>
            </w:r>
            <w:r w:rsidR="00242CD7" w:rsidRPr="005F3453">
              <w:t xml:space="preserve"> – costo complessivo arredo sala d’attesa € 1.000,</w:t>
            </w:r>
            <w:r w:rsidRPr="005F3453">
              <w:t>00</w:t>
            </w:r>
          </w:p>
          <w:p w:rsidR="00242CD7" w:rsidRPr="005F3453" w:rsidRDefault="00242CD7" w:rsidP="001B4FF5">
            <w:pPr>
              <w:autoSpaceDE w:val="0"/>
              <w:autoSpaceDN w:val="0"/>
              <w:adjustRightInd w:val="0"/>
              <w:jc w:val="both"/>
            </w:pPr>
          </w:p>
          <w:p w:rsidR="001B4FF5" w:rsidRPr="005F3453" w:rsidRDefault="00242CD7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>A</w:t>
            </w:r>
            <w:r w:rsidR="001B4FF5" w:rsidRPr="005F3453">
              <w:t xml:space="preserve">cquisto strumentazione e tecnologia – </w:t>
            </w:r>
            <w:r w:rsidRPr="005F3453">
              <w:t>€</w:t>
            </w:r>
            <w:r w:rsidR="001B4FF5" w:rsidRPr="005F3453">
              <w:t xml:space="preserve"> 90.000</w:t>
            </w:r>
            <w:r w:rsidRPr="005F3453">
              <w:t>, attrezzatura costituita da: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- ecografo portatile a colori a carrello con sonda lineare, </w:t>
            </w:r>
            <w:proofErr w:type="spellStart"/>
            <w:r w:rsidRPr="005F3453">
              <w:t>convex</w:t>
            </w:r>
            <w:proofErr w:type="spellEnd"/>
            <w:r w:rsidRPr="005F3453">
              <w:t xml:space="preserve"> e ginecologica € 20.000;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>- spirometro portatile diagnostico € 1.500;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- </w:t>
            </w:r>
            <w:proofErr w:type="spellStart"/>
            <w:r w:rsidRPr="005F3453">
              <w:t>ECGrafo</w:t>
            </w:r>
            <w:proofErr w:type="spellEnd"/>
            <w:r w:rsidRPr="005F3453">
              <w:t xml:space="preserve"> - € 2.500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- Apparecchio di  radiologia domiciliare con tubi radiogeni di diversi kW almeno di due potenzialità diverse, </w:t>
            </w:r>
            <w:proofErr w:type="spellStart"/>
            <w:r w:rsidRPr="005F3453">
              <w:t>detettore</w:t>
            </w:r>
            <w:proofErr w:type="spellEnd"/>
            <w:r w:rsidRPr="005F3453">
              <w:t xml:space="preserve"> e console per revisione, elaborazione e archiviazione delle immagini apparecchiature per la teletrasmissione</w:t>
            </w:r>
            <w:r w:rsidR="00242CD7" w:rsidRPr="005F3453">
              <w:t xml:space="preserve"> </w:t>
            </w:r>
            <w:r w:rsidRPr="005F3453">
              <w:t xml:space="preserve">di immagini compatibili con il sistema della Azienda ( </w:t>
            </w:r>
            <w:proofErr w:type="spellStart"/>
            <w:r w:rsidRPr="005F3453">
              <w:t>ris</w:t>
            </w:r>
            <w:proofErr w:type="spellEnd"/>
            <w:r w:rsidRPr="005F3453">
              <w:t xml:space="preserve"> </w:t>
            </w:r>
            <w:proofErr w:type="spellStart"/>
            <w:r w:rsidRPr="005F3453">
              <w:t>pacs</w:t>
            </w:r>
            <w:proofErr w:type="spellEnd"/>
            <w:r w:rsidRPr="005F3453">
              <w:t xml:space="preserve"> )- € 45.000</w:t>
            </w:r>
            <w:r w:rsidR="00242CD7" w:rsidRPr="005F3453">
              <w:t>;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 -</w:t>
            </w:r>
            <w:r w:rsidR="00162E49">
              <w:t xml:space="preserve"> </w:t>
            </w:r>
            <w:r w:rsidRPr="005F3453">
              <w:t>vettura per</w:t>
            </w:r>
            <w:r w:rsidR="00242CD7" w:rsidRPr="005F3453">
              <w:t xml:space="preserve"> il trasporto delle attrezzature</w:t>
            </w:r>
            <w:r w:rsidRPr="005F3453">
              <w:t>, tipo fu</w:t>
            </w:r>
            <w:r w:rsidR="00242CD7" w:rsidRPr="005F3453">
              <w:t>rgonato nonché per ricevere all</w:t>
            </w:r>
            <w:r w:rsidRPr="005F3453">
              <w:t>’interno apparecchiature per la teletrasmissione che permettano di poter spedire le immagini prodotte direttamente al PACS ospedaliero dove potranno essere refertate dal medico radiologo € 21.000</w:t>
            </w:r>
            <w:r w:rsidR="00242CD7" w:rsidRPr="005F3453">
              <w:t>.</w:t>
            </w: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</w:pPr>
          </w:p>
          <w:p w:rsidR="001B4FF5" w:rsidRPr="005F3453" w:rsidRDefault="001B4FF5" w:rsidP="001B4FF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F3453">
              <w:rPr>
                <w:b/>
              </w:rPr>
              <w:t>Totale PES Scheggino: € 100.000,00</w:t>
            </w: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PES DI MONTELEONE DI SPOLETO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Acquisto arredi € 10.000,00, arredi costituiti da: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Arredamento 2 Ambulatori medici composti entrambi da Lettino in acciaio King, Predellino a due gradini, Paravento a 3 ante in </w:t>
            </w:r>
            <w:proofErr w:type="spellStart"/>
            <w:r w:rsidRPr="005F3453">
              <w:t>trevira</w:t>
            </w:r>
            <w:proofErr w:type="spellEnd"/>
            <w:r w:rsidRPr="005F3453">
              <w:t xml:space="preserve"> azzurra, Sgabello con seduta imbottita, Lampada alogena Simplex su piantana, Sedia Cremona in tessuto blu, </w:t>
            </w:r>
            <w:r w:rsidR="00EB656D">
              <w:t xml:space="preserve">Scrivania a 2 cassetti, </w:t>
            </w:r>
            <w:r w:rsidRPr="005F3453">
              <w:t xml:space="preserve"> Bilancia pesapersone, Carrello a 2 ripiani, Arma</w:t>
            </w:r>
            <w:r w:rsidR="006A1B8B">
              <w:t>dio, Armadio porta medicinali (</w:t>
            </w:r>
            <w:r w:rsidRPr="005F3453">
              <w:t>per un costo di € 4.500,00 cadauno per un totale di € 9.000,00)</w:t>
            </w:r>
          </w:p>
          <w:p w:rsidR="00242CD7" w:rsidRPr="005F3453" w:rsidRDefault="00242CD7" w:rsidP="00242CD7">
            <w:pPr>
              <w:autoSpaceDE w:val="0"/>
              <w:jc w:val="both"/>
            </w:pPr>
            <w:r w:rsidRPr="005F3453">
              <w:t>Arredamento sala d’attesa composto da 10 sedie per un costo totale di € 400,00; 1 scrivania per un costo totale di € 300,00; 1 armadio per un costo totale di € 300,00 – costo complessivo arredo sala d’attesa € 1.000,00</w:t>
            </w:r>
          </w:p>
          <w:p w:rsidR="001B4FF5" w:rsidRPr="005F3453" w:rsidRDefault="001B4FF5" w:rsidP="00242CD7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Totale PES Monteleone:  € 10.000,00</w:t>
            </w:r>
          </w:p>
          <w:p w:rsidR="001B4FF5" w:rsidRPr="005F3453" w:rsidRDefault="001B4FF5" w:rsidP="001B4FF5">
            <w:pPr>
              <w:autoSpaceDE w:val="0"/>
              <w:jc w:val="both"/>
            </w:pP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PES DI CERRETO DI SPOLETO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Acquisto arredi € 10.000,00, arredi costituiti da: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Arredamento 2 Ambulatori medici composti entrambi da Lettino in acciaio King, Predellino a due gradini, Paravento a 3 ante in </w:t>
            </w:r>
            <w:proofErr w:type="spellStart"/>
            <w:r w:rsidRPr="005F3453">
              <w:t>trevira</w:t>
            </w:r>
            <w:proofErr w:type="spellEnd"/>
            <w:r w:rsidRPr="005F3453">
              <w:t xml:space="preserve"> azzurra, Sgabello con seduta imbottita, Lampada alogena Simplex su piantana, Sedia Cremona in tessuto blu, Scrivania a 2 c</w:t>
            </w:r>
            <w:r w:rsidR="00EB656D">
              <w:t>assetti,</w:t>
            </w:r>
            <w:r w:rsidRPr="005F3453">
              <w:t xml:space="preserve"> Bilancia pesapersone, Carrello a 2 ripiani, Armadio, Armadio porta medicinali ( per un costo di € 4.500,00 cadauno per un totale di € 9.000,00)</w:t>
            </w:r>
          </w:p>
          <w:p w:rsidR="00F76B1C" w:rsidRDefault="00242CD7" w:rsidP="00242CD7">
            <w:pPr>
              <w:autoSpaceDE w:val="0"/>
              <w:jc w:val="both"/>
            </w:pPr>
            <w:r w:rsidRPr="005F3453">
              <w:t xml:space="preserve">Arredamento sala d’attesa composto da 10 sedie per un costo totale di € </w:t>
            </w:r>
            <w:r w:rsidRPr="005F3453">
              <w:lastRenderedPageBreak/>
              <w:t>400,00; 1 scrivania per un costo totale di € 300,00; 1 armadio per un costo totale di € 300,00 – costo complessivo arredo sala d’attesa € 1.000,00</w:t>
            </w:r>
            <w:r w:rsidR="00F76B1C">
              <w:t>.</w:t>
            </w:r>
          </w:p>
          <w:p w:rsidR="001B4FF5" w:rsidRPr="005F3453" w:rsidRDefault="001B4FF5" w:rsidP="00242CD7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Totale PES Cerreto di Spoleto:  € 10.000,00</w:t>
            </w:r>
          </w:p>
          <w:p w:rsidR="001B4FF5" w:rsidRPr="005F3453" w:rsidRDefault="001B4FF5" w:rsidP="001B4FF5">
            <w:pPr>
              <w:autoSpaceDE w:val="0"/>
              <w:jc w:val="both"/>
            </w:pP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PES DI SELLANO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Acquisto arredi € 10.000,00, arredi costituiti da: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Arredamento 2 Ambulatori medici composti entrambi da Lettino in acciaio King, Predellino a due gradini, Paravento a 3 ante in </w:t>
            </w:r>
            <w:proofErr w:type="spellStart"/>
            <w:r w:rsidRPr="005F3453">
              <w:t>trevira</w:t>
            </w:r>
            <w:proofErr w:type="spellEnd"/>
            <w:r w:rsidRPr="005F3453">
              <w:t xml:space="preserve"> azzurra, Sgabello con seduta imbottita, Lampada alogena Simplex su piantana, Sedia Cremona in tessuto blu, Scr</w:t>
            </w:r>
            <w:r w:rsidR="00EB656D">
              <w:t>ivania a 2 cassetti,</w:t>
            </w:r>
            <w:r w:rsidRPr="005F3453">
              <w:t xml:space="preserve"> Bilancia pesapersone, Carrello a 2 ripiani, Armadio, Armadio porta medicinali ( per un costo di € 4.500,00 cadauno per un totale di € 9.000,00)</w:t>
            </w:r>
          </w:p>
          <w:p w:rsidR="00F76B1C" w:rsidRDefault="00242CD7" w:rsidP="00242CD7">
            <w:pPr>
              <w:autoSpaceDE w:val="0"/>
              <w:jc w:val="both"/>
            </w:pPr>
            <w:r w:rsidRPr="005F3453">
              <w:t>Arredamento sala d’attesa composto da 10 sedie per un costo totale di € 400,00; 1 scrivania per un costo totale di € 300,00; 1 armadio per un costo totale di € 300,00 – costo complessivo arredo sala d’attesa € 1.000,00</w:t>
            </w:r>
            <w:r w:rsidR="00F76B1C">
              <w:t>.</w:t>
            </w:r>
          </w:p>
          <w:p w:rsidR="001B4FF5" w:rsidRPr="005F3453" w:rsidRDefault="001B4FF5" w:rsidP="00242CD7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Totale PES Sellano:  € 10.000,00</w:t>
            </w:r>
          </w:p>
          <w:p w:rsidR="001B4FF5" w:rsidRPr="005F3453" w:rsidRDefault="001B4FF5" w:rsidP="001B4FF5">
            <w:pPr>
              <w:autoSpaceDE w:val="0"/>
              <w:jc w:val="both"/>
            </w:pP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PES DI PRECI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Acquisto arredi € 10.000,00, arredi costituiti da: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Arredamento 2 Ambulatori medici composti entrambi da Lettino in acciaio King, Predellino a due gradini, Paravento a 3 ante in </w:t>
            </w:r>
            <w:proofErr w:type="spellStart"/>
            <w:r w:rsidRPr="005F3453">
              <w:t>trevira</w:t>
            </w:r>
            <w:proofErr w:type="spellEnd"/>
            <w:r w:rsidRPr="005F3453">
              <w:t xml:space="preserve"> azzurra, Sgabello con seduta imbottita, Lampada alogena Simplex su piantana, Sedia Cremona in tessuto blu, Scrivania a 2 cassetti, </w:t>
            </w:r>
            <w:r w:rsidRPr="007D6D2E">
              <w:t>Contenitore rifiuti, Appendiabiti grigio,</w:t>
            </w:r>
            <w:r w:rsidRPr="005F3453">
              <w:t xml:space="preserve"> Bilancia pesapersone, Carrello a 2 ripiani, Armadio, Armadio porta medicinali ( per un costo di € 4.500,00 cadauno per un totale di € 9.000,00)</w:t>
            </w:r>
          </w:p>
          <w:p w:rsidR="00F76B1C" w:rsidRDefault="00242CD7" w:rsidP="00242CD7">
            <w:pPr>
              <w:autoSpaceDE w:val="0"/>
              <w:jc w:val="both"/>
            </w:pPr>
            <w:r w:rsidRPr="005F3453">
              <w:t>Arredamento sala d’attesa composto da 10 sedie per un costo totale di € 400,00; 1 scrivania per un costo totale di € 300,00; 1 armadio per un costo totale di € 300,00 – costo complessivo arredo sala d’attesa € 1.000,00</w:t>
            </w:r>
            <w:r w:rsidR="00F76B1C">
              <w:t>.</w:t>
            </w:r>
          </w:p>
          <w:p w:rsidR="001B4FF5" w:rsidRPr="005F3453" w:rsidRDefault="001B4FF5" w:rsidP="00242CD7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Totale PES Preci:  € 10.000,00</w:t>
            </w:r>
          </w:p>
          <w:p w:rsidR="001B4FF5" w:rsidRPr="005F3453" w:rsidRDefault="001B4FF5" w:rsidP="001B4FF5">
            <w:pPr>
              <w:autoSpaceDE w:val="0"/>
              <w:jc w:val="both"/>
            </w:pPr>
          </w:p>
          <w:p w:rsidR="001B4FF5" w:rsidRPr="005F3453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PES DI ARRONE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Acquisto arredi € 10.000,00, arredi costituiti da: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 xml:space="preserve">Arredamento 2 Ambulatori medici composti entrambi da Lettino in acciaio King, Predellino a due gradini, Paravento a 3 ante in </w:t>
            </w:r>
            <w:proofErr w:type="spellStart"/>
            <w:r w:rsidRPr="005F3453">
              <w:t>trevira</w:t>
            </w:r>
            <w:proofErr w:type="spellEnd"/>
            <w:r w:rsidRPr="005F3453">
              <w:t xml:space="preserve"> azzurra, Sgabello con seduta imbottita, Lampada alogena Simplex su piantana, Sedia Cremona in tessuto blu, Scriva</w:t>
            </w:r>
            <w:r w:rsidR="00EB656D">
              <w:t>nia a 2 cassetti,</w:t>
            </w:r>
            <w:r w:rsidRPr="005F3453">
              <w:t xml:space="preserve"> Bilancia pesapersone, Carrello a 2 ripiani, Armadio, Armadio porta medicinali ( per un costo di € 4.500,00 cadauno per un totale di € 9.000,00)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Arredamento sala d’attesa composto da 10 sedie per un costo totale di € 400,00; 1 scrivania per un costo totale di € 300,00; 1 armadio per un costo totale di € 300,00 – costo complessivo arredo sala d’attesa € 1.000,00</w:t>
            </w:r>
          </w:p>
          <w:p w:rsidR="00242CD7" w:rsidRPr="005F3453" w:rsidRDefault="00242CD7" w:rsidP="00242CD7">
            <w:pPr>
              <w:autoSpaceDE w:val="0"/>
              <w:autoSpaceDN w:val="0"/>
              <w:adjustRightInd w:val="0"/>
              <w:jc w:val="both"/>
            </w:pPr>
          </w:p>
          <w:p w:rsidR="001B4FF5" w:rsidRPr="005F3453" w:rsidRDefault="001B4FF5" w:rsidP="00242CD7">
            <w:pPr>
              <w:autoSpaceDE w:val="0"/>
              <w:autoSpaceDN w:val="0"/>
              <w:adjustRightInd w:val="0"/>
              <w:jc w:val="both"/>
            </w:pPr>
            <w:r w:rsidRPr="005F3453">
              <w:t>Adeguamento igienico-sanitario, strutturale e impiantistico dell’immobile esistente € 70.000,00</w:t>
            </w:r>
          </w:p>
          <w:p w:rsidR="001B4FF5" w:rsidRPr="005F3453" w:rsidRDefault="001B4FF5" w:rsidP="001B4FF5">
            <w:pPr>
              <w:autoSpaceDE w:val="0"/>
              <w:jc w:val="both"/>
            </w:pPr>
            <w:r w:rsidRPr="005F3453">
              <w:t>Acquisizione di servizi (Incarichi professionali per progettazione, Direzione Lavori e Collaudi) € 10.000,00</w:t>
            </w:r>
          </w:p>
          <w:p w:rsidR="001B4FF5" w:rsidRPr="005F3453" w:rsidRDefault="001B4FF5" w:rsidP="001B4FF5">
            <w:pPr>
              <w:autoSpaceDE w:val="0"/>
              <w:jc w:val="both"/>
            </w:pPr>
          </w:p>
          <w:p w:rsidR="001B4FF5" w:rsidRDefault="001B4FF5" w:rsidP="001B4FF5">
            <w:pPr>
              <w:autoSpaceDE w:val="0"/>
              <w:jc w:val="both"/>
              <w:rPr>
                <w:b/>
              </w:rPr>
            </w:pPr>
            <w:r w:rsidRPr="005F3453">
              <w:rPr>
                <w:b/>
              </w:rPr>
              <w:t>Totale PES Arrone:  € 90.000,00</w:t>
            </w:r>
          </w:p>
          <w:p w:rsidR="006A1B8B" w:rsidRDefault="006A1B8B" w:rsidP="001B4FF5">
            <w:pPr>
              <w:autoSpaceDE w:val="0"/>
              <w:jc w:val="both"/>
              <w:rPr>
                <w:b/>
              </w:rPr>
            </w:pPr>
          </w:p>
          <w:p w:rsidR="00C26051" w:rsidRPr="004159CC" w:rsidRDefault="006A1B8B" w:rsidP="00C23D4D">
            <w:pPr>
              <w:autoSpaceDE w:val="0"/>
              <w:jc w:val="both"/>
              <w:rPr>
                <w:color w:val="000000" w:themeColor="text1"/>
              </w:rPr>
            </w:pPr>
            <w:r w:rsidRPr="006F6E94">
              <w:rPr>
                <w:rFonts w:eastAsia="Times New Roman" w:cs="Calibri"/>
              </w:rPr>
              <w:t xml:space="preserve">L’AUSL Umbria 2, con apposita dichiarazione del proprio legale rappresentante, si impegna a garantire l’erogazione del servizio mediante </w:t>
            </w:r>
            <w:r w:rsidR="00C23D4D" w:rsidRPr="006F6E94">
              <w:rPr>
                <w:rFonts w:eastAsia="Times New Roman" w:cs="Calibri"/>
              </w:rPr>
              <w:t>i beni acquistati</w:t>
            </w:r>
            <w:r w:rsidRPr="006F6E94">
              <w:rPr>
                <w:rFonts w:eastAsia="Times New Roman" w:cs="Calibri"/>
              </w:rPr>
              <w:t xml:space="preserve"> con le risorse SNAI previste nella presente scheda</w:t>
            </w:r>
            <w:r w:rsidR="00DC4D70" w:rsidRPr="006F6E94">
              <w:rPr>
                <w:rFonts w:eastAsia="Times New Roman" w:cs="Calibri"/>
              </w:rPr>
              <w:t>.</w:t>
            </w:r>
          </w:p>
        </w:tc>
      </w:tr>
      <w:tr w:rsidR="00BF488D" w:rsidTr="00B87572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5F3453" w:rsidRDefault="005F3453">
      <w:r>
        <w:br w:type="page"/>
      </w:r>
    </w:p>
    <w:tbl>
      <w:tblPr>
        <w:tblW w:w="9660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22"/>
        <w:gridCol w:w="6258"/>
      </w:tblGrid>
      <w:tr w:rsidR="00BF488D" w:rsidTr="005F345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E4EB2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lastRenderedPageBreak/>
              <w:t>8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F3453" w:rsidRDefault="005F3453" w:rsidP="000E17C5">
            <w:pPr>
              <w:autoSpaceDE w:val="0"/>
              <w:snapToGrid w:val="0"/>
              <w:jc w:val="both"/>
            </w:pPr>
            <w:r>
              <w:t>[AP] RA 9.3 Aumento/ consolidamento/ qualificazione dei servizi di cura socio-educativi rivolti ai bambini e dei servizi di cura rivolti a persone con limitazioni dell’autonomia e potenziamento della rete</w:t>
            </w:r>
            <w:r w:rsidR="000E17C5">
              <w:t xml:space="preserve"> </w:t>
            </w:r>
            <w:r>
              <w:t>infrastrutturale e dell’offerta di servizi sanitari e sociosanitari territoriali</w:t>
            </w:r>
          </w:p>
          <w:p w:rsidR="000E3A74" w:rsidRDefault="000E3A74" w:rsidP="00EE41B3">
            <w:pPr>
              <w:autoSpaceDE w:val="0"/>
              <w:autoSpaceDN w:val="0"/>
              <w:adjustRightInd w:val="0"/>
              <w:rPr>
                <w:rFonts w:eastAsiaTheme="minorHAnsi" w:cs="Calibri"/>
                <w:lang w:eastAsia="en-US"/>
              </w:rPr>
            </w:pPr>
          </w:p>
          <w:p w:rsidR="00824F2B" w:rsidRDefault="00824F2B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Altri risultati attesi:</w:t>
            </w:r>
          </w:p>
          <w:p w:rsidR="000E3A74" w:rsidRDefault="000E3A74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Favorire inoltre la sussistenza e lo sviluppo delle comunità insediate nei piccoli comuni delle aree interne, adempiendo alla funzione essenziale costituita dal servizio della salute.</w:t>
            </w:r>
          </w:p>
          <w:p w:rsidR="00EB656D" w:rsidRDefault="00EB656D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</w:p>
          <w:p w:rsidR="00EB656D" w:rsidRPr="00DB3D05" w:rsidRDefault="00EB656D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 w:rsidRPr="00DB3D05">
              <w:rPr>
                <w:rFonts w:eastAsiaTheme="minorHAnsi" w:cs="Calibri"/>
                <w:lang w:eastAsia="en-US"/>
              </w:rPr>
              <w:t xml:space="preserve">Centralità del Punto di Erogazione dei servizi di base, come riferimento </w:t>
            </w:r>
            <w:r w:rsidR="00FF7398" w:rsidRPr="00DB3D05">
              <w:rPr>
                <w:rFonts w:eastAsiaTheme="minorHAnsi" w:cs="Calibri"/>
                <w:lang w:eastAsia="en-US"/>
              </w:rPr>
              <w:t>iniziale della salute della popolazione, in particolare in termini preventivi e di assistenza primaria.</w:t>
            </w:r>
          </w:p>
          <w:p w:rsidR="005F3453" w:rsidRDefault="005F3453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</w:p>
          <w:p w:rsidR="005F3453" w:rsidRDefault="005F3453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>
              <w:t>Il risparmio di spesa che può essere conseguito con il servizio sul territorio: medicina preventiva, ridurre gli spostamenti della popolazione verso la struttura di concentrazione dei medici o il Pronto Soccorso; ridurre gli esami diagnostici</w:t>
            </w:r>
          </w:p>
          <w:p w:rsidR="005F3453" w:rsidRDefault="005F3453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</w:p>
          <w:p w:rsidR="007658B4" w:rsidRDefault="007658B4" w:rsidP="00EE41B3">
            <w:pPr>
              <w:autoSpaceDE w:val="0"/>
              <w:autoSpaceDN w:val="0"/>
              <w:adjustRightInd w:val="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5F3453">
        <w:trPr>
          <w:trHeight w:val="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5F3453">
        <w:trPr>
          <w:trHeight w:val="25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E4EB2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3169B1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:rsidR="00B87572" w:rsidRPr="00017EA4" w:rsidRDefault="00B87572" w:rsidP="00B87572">
            <w:pPr>
              <w:jc w:val="both"/>
              <w:rPr>
                <w:b/>
                <w:u w:val="single"/>
              </w:rPr>
            </w:pPr>
            <w:r w:rsidRPr="00017EA4">
              <w:rPr>
                <w:b/>
                <w:u w:val="single"/>
              </w:rPr>
              <w:t>Indicatori di Realizzazione:</w:t>
            </w:r>
          </w:p>
          <w:p w:rsidR="00196737" w:rsidRDefault="00196737" w:rsidP="005F3453">
            <w:pPr>
              <w:jc w:val="both"/>
            </w:pPr>
            <w:r>
              <w:t xml:space="preserve">(ID 136) </w:t>
            </w:r>
            <w:r w:rsidRPr="006E7AC4">
              <w:t>Popolazione coperta dai servizi sanitari migliorati</w:t>
            </w:r>
          </w:p>
          <w:p w:rsidR="005F3453" w:rsidRPr="0093493C" w:rsidRDefault="00C632DD" w:rsidP="005F3453">
            <w:pPr>
              <w:jc w:val="both"/>
            </w:pPr>
            <w:r>
              <w:t>Baseline 0</w:t>
            </w:r>
          </w:p>
          <w:p w:rsidR="005F3453" w:rsidRPr="0093493C" w:rsidRDefault="00196737" w:rsidP="005F3453">
            <w:pPr>
              <w:jc w:val="both"/>
            </w:pPr>
            <w:r>
              <w:t xml:space="preserve">Target </w:t>
            </w:r>
            <w:r w:rsidR="00C632DD">
              <w:t xml:space="preserve">6.505 </w:t>
            </w:r>
          </w:p>
          <w:p w:rsidR="00B87572" w:rsidRDefault="005F3453" w:rsidP="005F3453">
            <w:pPr>
              <w:jc w:val="both"/>
              <w:rPr>
                <w:i/>
              </w:rPr>
            </w:pPr>
            <w:r>
              <w:t xml:space="preserve">Fonte dati: </w:t>
            </w:r>
            <w:r>
              <w:rPr>
                <w:i/>
              </w:rPr>
              <w:t>Azienda Sanitaria Locale (ASL Umbria 2)</w:t>
            </w:r>
          </w:p>
          <w:p w:rsidR="005F3453" w:rsidRDefault="005F3453" w:rsidP="005F3453">
            <w:pPr>
              <w:jc w:val="both"/>
              <w:rPr>
                <w:rFonts w:cs="Calibri"/>
                <w:i/>
              </w:rPr>
            </w:pPr>
          </w:p>
          <w:p w:rsidR="000E3A74" w:rsidRPr="00017EA4" w:rsidRDefault="000E3A74" w:rsidP="00B87572">
            <w:pPr>
              <w:jc w:val="both"/>
              <w:rPr>
                <w:b/>
                <w:u w:val="single"/>
              </w:rPr>
            </w:pPr>
            <w:r w:rsidRPr="00017EA4">
              <w:rPr>
                <w:b/>
                <w:u w:val="single"/>
              </w:rPr>
              <w:t>Indicatori di Risultato:</w:t>
            </w:r>
          </w:p>
          <w:p w:rsidR="005F3453" w:rsidRPr="00DB3D05" w:rsidRDefault="00196737" w:rsidP="005F3453">
            <w:pPr>
              <w:snapToGrid w:val="0"/>
              <w:jc w:val="both"/>
            </w:pPr>
            <w:r>
              <w:t xml:space="preserve">(ID 6017) </w:t>
            </w:r>
            <w:r w:rsidRPr="00196737">
              <w:t>Prestazioni sanitarie di prossimità</w:t>
            </w:r>
            <w:r>
              <w:t xml:space="preserve"> (</w:t>
            </w:r>
            <w:r w:rsidRPr="00196737">
              <w:t>Numero di prestazioni sanitarie di prossimità erogate sul totale delle prestazioni erogate ai residenti (%)</w:t>
            </w:r>
            <w:r>
              <w:t>)</w:t>
            </w:r>
            <w:r w:rsidRPr="00196737">
              <w:t xml:space="preserve"> </w:t>
            </w:r>
          </w:p>
          <w:p w:rsidR="00196737" w:rsidRDefault="00D57503" w:rsidP="005F3453">
            <w:pPr>
              <w:jc w:val="both"/>
            </w:pPr>
            <w:r w:rsidRPr="00DB3D05">
              <w:t xml:space="preserve">Baseline: </w:t>
            </w:r>
            <w:proofErr w:type="spellStart"/>
            <w:r w:rsidR="00196737">
              <w:t>n.d</w:t>
            </w:r>
            <w:proofErr w:type="spellEnd"/>
          </w:p>
          <w:p w:rsidR="002B513E" w:rsidRPr="00DB3D05" w:rsidRDefault="002B513E" w:rsidP="005F3453">
            <w:pPr>
              <w:jc w:val="both"/>
            </w:pPr>
            <w:r>
              <w:t>Target: +10%</w:t>
            </w:r>
          </w:p>
          <w:p w:rsidR="00581E3C" w:rsidRDefault="005F3453" w:rsidP="00D57503">
            <w:pPr>
              <w:jc w:val="both"/>
              <w:rPr>
                <w:rFonts w:cs="Calibri"/>
                <w:i/>
              </w:rPr>
            </w:pPr>
            <w:r>
              <w:t xml:space="preserve">Fonte dati: </w:t>
            </w:r>
            <w:r>
              <w:rPr>
                <w:i/>
              </w:rPr>
              <w:t>Azienda Sanitaria Locale (ASL Umbria 2)</w:t>
            </w:r>
          </w:p>
          <w:p w:rsidR="00581E3C" w:rsidRPr="003169B1" w:rsidRDefault="00581E3C" w:rsidP="000E3A74"/>
        </w:tc>
      </w:tr>
      <w:tr w:rsidR="00BF488D" w:rsidTr="005F3453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58B4" w:rsidTr="00F76B1C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58B4" w:rsidRDefault="00AE4EB2" w:rsidP="00F76B1C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7658B4" w:rsidRDefault="007658B4" w:rsidP="00F76B1C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Modalità previste per l'attivazione</w:t>
            </w:r>
            <w:r w:rsidR="00F76B1C">
              <w:rPr>
                <w:rFonts w:ascii="Arial" w:eastAsia="Arial" w:hAnsi="Arial"/>
                <w:b/>
                <w:sz w:val="16"/>
              </w:rPr>
              <w:t xml:space="preserve"> del cantiere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F3453" w:rsidRDefault="005F3453" w:rsidP="005F3453">
            <w:pPr>
              <w:jc w:val="both"/>
            </w:pPr>
            <w:r>
              <w:t>Affidamento in appalto di servizi, lavori e forniture mediante procedure previste dal Codice degli Appalti (</w:t>
            </w:r>
            <w:proofErr w:type="spellStart"/>
            <w:r>
              <w:t>D.Lgs</w:t>
            </w:r>
            <w:proofErr w:type="spellEnd"/>
            <w:r>
              <w:t xml:space="preserve"> 50/2016 e </w:t>
            </w:r>
            <w:proofErr w:type="spellStart"/>
            <w:r>
              <w:t>s.m.i.</w:t>
            </w:r>
            <w:proofErr w:type="spellEnd"/>
            <w:r>
              <w:t>)</w:t>
            </w:r>
          </w:p>
          <w:p w:rsidR="005F3453" w:rsidRDefault="005F3453" w:rsidP="004D167A">
            <w:pPr>
              <w:jc w:val="both"/>
            </w:pPr>
          </w:p>
          <w:p w:rsidR="004D167A" w:rsidRDefault="004D167A" w:rsidP="004D167A">
            <w:pPr>
              <w:jc w:val="both"/>
            </w:pPr>
            <w:r w:rsidRPr="00A0314B">
              <w:t xml:space="preserve">Affidamento in appalto di forniture mediante le procedure specificatamente previste dal Codice dei contratti (D.lgs. 50/2016 e </w:t>
            </w:r>
            <w:proofErr w:type="spellStart"/>
            <w:r w:rsidRPr="00A0314B">
              <w:t>s.m</w:t>
            </w:r>
            <w:proofErr w:type="spellEnd"/>
            <w:r w:rsidRPr="00A0314B">
              <w:t>. e i.)</w:t>
            </w:r>
            <w:r>
              <w:t xml:space="preserve"> - Acquisto mediante procedure CONSIP</w:t>
            </w:r>
          </w:p>
          <w:p w:rsidR="004D167A" w:rsidRDefault="004D167A" w:rsidP="00581E3C">
            <w:pPr>
              <w:jc w:val="both"/>
            </w:pPr>
          </w:p>
          <w:p w:rsidR="00101C60" w:rsidRDefault="00101C60" w:rsidP="007658B4">
            <w:pPr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5F3453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5577F" w:rsidTr="005F345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AE4EB2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22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Default="0085577F" w:rsidP="0085577F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necessaria per</w:t>
            </w:r>
          </w:p>
          <w:p w:rsidR="0085577F" w:rsidRDefault="0085577F" w:rsidP="0085577F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l'avvio dell'affidamento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5F3453" w:rsidRDefault="005F3453" w:rsidP="0085577F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>
              <w:rPr>
                <w:rFonts w:asciiTheme="minorHAnsi" w:eastAsia="Arial" w:hAnsiTheme="minorHAnsi"/>
              </w:rPr>
              <w:t>Progettazione esecutiva</w:t>
            </w:r>
          </w:p>
          <w:p w:rsidR="0085577F" w:rsidRPr="0085577F" w:rsidRDefault="000B3231" w:rsidP="0085577F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>
              <w:rPr>
                <w:rFonts w:asciiTheme="minorHAnsi" w:eastAsia="Arial" w:hAnsiTheme="minorHAnsi"/>
              </w:rPr>
              <w:t>Capitolato d’oneri per la gara di appalto</w:t>
            </w:r>
          </w:p>
        </w:tc>
      </w:tr>
      <w:tr w:rsidR="0085577F" w:rsidTr="005F345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5F345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5F3453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5F345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E4EB2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D167A" w:rsidRDefault="005F3453" w:rsidP="00A11F01">
            <w:pPr>
              <w:spacing w:line="177" w:lineRule="exact"/>
              <w:ind w:left="60"/>
              <w:rPr>
                <w:rFonts w:asciiTheme="minorHAnsi" w:eastAsia="Arial" w:hAnsiTheme="minorHAnsi"/>
                <w:color w:val="0070C0"/>
              </w:rPr>
            </w:pPr>
            <w:r>
              <w:rPr>
                <w:rFonts w:asciiTheme="minorHAnsi" w:eastAsia="Arial" w:hAnsiTheme="minorHAnsi"/>
              </w:rPr>
              <w:t>Documentazione propedeutica alla fattibilità tecnico-economica</w:t>
            </w:r>
          </w:p>
        </w:tc>
      </w:tr>
      <w:tr w:rsidR="00BF488D" w:rsidTr="005F345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D167A" w:rsidRDefault="004D167A" w:rsidP="00A0314B">
            <w:pPr>
              <w:spacing w:line="177" w:lineRule="exact"/>
              <w:ind w:left="60"/>
              <w:rPr>
                <w:rFonts w:asciiTheme="minorHAnsi" w:eastAsia="Arial" w:hAnsiTheme="minorHAnsi"/>
                <w:color w:val="0070C0"/>
              </w:rPr>
            </w:pPr>
            <w:r w:rsidRPr="00A0314B">
              <w:rPr>
                <w:rFonts w:asciiTheme="minorHAnsi" w:eastAsia="Arial" w:hAnsiTheme="minorHAnsi"/>
              </w:rPr>
              <w:t>Documentazione propedeutica al capitolato d’oneri</w:t>
            </w:r>
          </w:p>
        </w:tc>
      </w:tr>
      <w:tr w:rsidR="00BF488D" w:rsidTr="005F3453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Tr="005F345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E4EB2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169B1" w:rsidRDefault="00EE41B3" w:rsidP="00581E3C">
            <w:pPr>
              <w:snapToGrid w:val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</w:t>
            </w:r>
            <w:r w:rsidR="0085577F">
              <w:rPr>
                <w:rFonts w:cs="Calibri"/>
                <w:i/>
              </w:rPr>
              <w:t>USL</w:t>
            </w:r>
            <w:r w:rsidRPr="00EE41B3">
              <w:rPr>
                <w:rFonts w:cs="Calibri"/>
                <w:i/>
              </w:rPr>
              <w:t xml:space="preserve"> Umbria</w:t>
            </w:r>
            <w:r w:rsidR="0085577F">
              <w:rPr>
                <w:rFonts w:cs="Calibri"/>
                <w:i/>
              </w:rPr>
              <w:t xml:space="preserve"> 2</w:t>
            </w:r>
          </w:p>
        </w:tc>
      </w:tr>
      <w:tr w:rsidR="00BF488D" w:rsidTr="005F345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5F345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E4EB2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221211" w:rsidRDefault="00975CF5" w:rsidP="00EE41B3">
            <w:pPr>
              <w:snapToGrid w:val="0"/>
              <w:rPr>
                <w:rFonts w:asciiTheme="minorHAnsi" w:eastAsia="Arial" w:hAnsiTheme="minorHAnsi"/>
                <w:color w:val="FF0000"/>
              </w:rPr>
            </w:pPr>
            <w:r w:rsidRPr="00221211">
              <w:rPr>
                <w:rFonts w:asciiTheme="minorHAnsi" w:eastAsia="Arial" w:hAnsiTheme="minorHAnsi"/>
              </w:rPr>
              <w:t>Dr.ssa Maestri Patrizia</w:t>
            </w:r>
            <w:r w:rsidR="00221211" w:rsidRPr="00221211">
              <w:rPr>
                <w:rFonts w:asciiTheme="minorHAnsi" w:eastAsia="Arial" w:hAnsiTheme="minorHAnsi"/>
              </w:rPr>
              <w:t xml:space="preserve"> – Dirigente Servizio Acquisizione beni e servizi</w:t>
            </w:r>
          </w:p>
        </w:tc>
      </w:tr>
      <w:tr w:rsidR="00BF488D" w:rsidTr="005F345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EE41B3" w:rsidRDefault="00EE41B3" w:rsidP="004D167A">
      <w:pPr>
        <w:spacing w:line="232" w:lineRule="auto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Tipologie di spesa</w:t>
      </w:r>
    </w:p>
    <w:p w:rsidR="00BF488D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20"/>
        <w:gridCol w:w="3951"/>
        <w:gridCol w:w="2289"/>
      </w:tblGrid>
      <w:tr w:rsidR="00BF488D" w:rsidTr="005E65DF">
        <w:trPr>
          <w:trHeight w:val="23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51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>
              <w:rPr>
                <w:rFonts w:ascii="Arial" w:eastAsia="Arial" w:hAnsi="Arial"/>
                <w:b/>
                <w:w w:val="99"/>
                <w:sz w:val="16"/>
              </w:rPr>
              <w:t>Valuta</w:t>
            </w:r>
          </w:p>
        </w:tc>
      </w:tr>
      <w:tr w:rsidR="0085577F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</w:tcPr>
          <w:p w:rsidR="0085577F" w:rsidRDefault="0085577F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bookmarkStart w:id="2" w:name="page4"/>
            <w:bookmarkEnd w:id="2"/>
            <w:r>
              <w:rPr>
                <w:rFonts w:ascii="Arial" w:eastAsia="Arial" w:hAnsi="Arial"/>
                <w:b/>
                <w:sz w:val="16"/>
              </w:rPr>
              <w:lastRenderedPageBreak/>
              <w:t>Acquisto beni/forniture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0B3231" w:rsidP="00824F2B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Acquisto di </w:t>
            </w:r>
            <w:r w:rsidR="00261875">
              <w:rPr>
                <w:rFonts w:ascii="Arial" w:eastAsia="Arial" w:hAnsi="Arial"/>
                <w:b/>
                <w:sz w:val="16"/>
              </w:rPr>
              <w:t>arredi</w:t>
            </w:r>
          </w:p>
          <w:p w:rsidR="00824F2B" w:rsidRDefault="00824F2B" w:rsidP="00824F2B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  <w:p w:rsidR="00824F2B" w:rsidRDefault="00824F2B" w:rsidP="0026187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Acquisto attrezzature mediche 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261875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60.000</w:t>
            </w:r>
            <w:r w:rsidR="000B3231">
              <w:rPr>
                <w:rFonts w:ascii="Arial" w:eastAsia="Arial" w:hAnsi="Arial"/>
                <w:b/>
                <w:sz w:val="16"/>
              </w:rPr>
              <w:t xml:space="preserve">,00 </w:t>
            </w:r>
            <w:r w:rsidR="0085577F">
              <w:rPr>
                <w:rFonts w:ascii="Arial" w:eastAsia="Arial" w:hAnsi="Arial"/>
                <w:b/>
                <w:sz w:val="16"/>
              </w:rPr>
              <w:t>EUR</w:t>
            </w:r>
          </w:p>
          <w:p w:rsidR="00824F2B" w:rsidRDefault="00824F2B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824F2B" w:rsidRPr="0085577F" w:rsidRDefault="00824F2B" w:rsidP="00261875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  <w:r w:rsidR="00261875">
              <w:rPr>
                <w:rFonts w:ascii="Arial" w:eastAsia="Arial" w:hAnsi="Arial"/>
                <w:b/>
                <w:sz w:val="16"/>
              </w:rPr>
              <w:t>0</w:t>
            </w:r>
            <w:r>
              <w:rPr>
                <w:rFonts w:ascii="Arial" w:eastAsia="Arial" w:hAnsi="Arial"/>
                <w:b/>
                <w:sz w:val="16"/>
              </w:rPr>
              <w:t>.000,00 EUR</w:t>
            </w:r>
          </w:p>
        </w:tc>
      </w:tr>
      <w:tr w:rsidR="00261875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</w:tcPr>
          <w:p w:rsidR="00261875" w:rsidRDefault="00261875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61875" w:rsidRDefault="00261875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61875" w:rsidRDefault="00261875" w:rsidP="00824F2B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61875" w:rsidRDefault="00261875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85577F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261875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61875" w:rsidRDefault="00261875" w:rsidP="00261875">
            <w:pPr>
              <w:spacing w:line="177" w:lineRule="exact"/>
              <w:ind w:left="20"/>
              <w:rPr>
                <w:rFonts w:ascii="Times New Roman" w:eastAsia="Times New Roman" w:hAnsi="Times New Roman"/>
                <w:sz w:val="10"/>
              </w:rPr>
            </w:pPr>
            <w:r w:rsidRPr="00261875">
              <w:rPr>
                <w:rFonts w:ascii="Arial" w:eastAsia="Arial" w:hAnsi="Arial"/>
                <w:b/>
                <w:sz w:val="16"/>
              </w:rPr>
              <w:t>Opere civili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1875" w:rsidRDefault="00261875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61875" w:rsidRPr="00261875" w:rsidRDefault="00261875" w:rsidP="0026187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261875">
              <w:rPr>
                <w:rFonts w:ascii="Arial" w:eastAsia="Arial" w:hAnsi="Arial"/>
                <w:b/>
                <w:sz w:val="16"/>
              </w:rPr>
              <w:t>Intervento di ristrutturazione edilizia</w:t>
            </w: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875" w:rsidRPr="0085577F" w:rsidRDefault="00261875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80.0000,00 EUR</w:t>
            </w:r>
          </w:p>
        </w:tc>
      </w:tr>
      <w:tr w:rsidR="00824F2B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24F2B" w:rsidRDefault="00824F2B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  <w:r w:rsidRPr="00824F2B">
              <w:rPr>
                <w:rFonts w:ascii="Arial" w:eastAsia="Arial" w:hAnsi="Arial"/>
                <w:b/>
                <w:sz w:val="16"/>
              </w:rPr>
              <w:t>TOTALE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F2B" w:rsidRDefault="00824F2B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F2B" w:rsidRPr="00261875" w:rsidRDefault="00824F2B" w:rsidP="0026187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4F2B" w:rsidRPr="0085577F" w:rsidRDefault="00261875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230</w:t>
            </w:r>
            <w:r w:rsidR="00824F2B">
              <w:rPr>
                <w:rFonts w:ascii="Arial" w:eastAsia="Arial" w:hAnsi="Arial"/>
                <w:b/>
                <w:sz w:val="16"/>
              </w:rPr>
              <w:t>.000,00 EUR</w:t>
            </w:r>
          </w:p>
        </w:tc>
      </w:tr>
      <w:tr w:rsidR="00BF488D" w:rsidRPr="004F2FA4" w:rsidTr="0085577F">
        <w:trPr>
          <w:trHeight w:val="244"/>
        </w:trPr>
        <w:tc>
          <w:tcPr>
            <w:tcW w:w="7371" w:type="dxa"/>
            <w:gridSpan w:val="3"/>
            <w:shd w:val="clear" w:color="auto" w:fill="auto"/>
            <w:vAlign w:val="bottom"/>
          </w:tcPr>
          <w:p w:rsidR="00027944" w:rsidRPr="004F2FA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27944" w:rsidRPr="004F2FA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BF488D" w:rsidRPr="004F2FA4" w:rsidRDefault="00BF488D" w:rsidP="00824F2B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 w:rsidRPr="004F2FA4">
              <w:rPr>
                <w:rFonts w:ascii="Arial" w:eastAsia="Arial" w:hAnsi="Arial"/>
                <w:b/>
                <w:sz w:val="22"/>
              </w:rPr>
              <w:t>Cronoprogramma delle attività</w:t>
            </w:r>
            <w:r w:rsidR="00824F2B" w:rsidRPr="004F2FA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975CF5" w:rsidRPr="004F2FA4">
              <w:rPr>
                <w:rFonts w:ascii="Arial" w:eastAsia="Arial" w:hAnsi="Arial"/>
                <w:b/>
                <w:sz w:val="22"/>
                <w:highlight w:val="yellow"/>
              </w:rPr>
              <w:t xml:space="preserve"> </w:t>
            </w:r>
          </w:p>
          <w:p w:rsidR="004F2FA4" w:rsidRPr="004F2FA4" w:rsidRDefault="004F2FA4" w:rsidP="004F2FA4">
            <w:pPr>
              <w:spacing w:line="243" w:lineRule="exact"/>
              <w:rPr>
                <w:rFonts w:ascii="Arial" w:eastAsia="Arial" w:hAnsi="Arial"/>
                <w:sz w:val="18"/>
                <w:szCs w:val="18"/>
              </w:rPr>
            </w:pPr>
            <w:r w:rsidRPr="004F2FA4">
              <w:rPr>
                <w:rFonts w:ascii="Arial" w:eastAsia="Arial" w:hAnsi="Arial"/>
                <w:sz w:val="18"/>
                <w:szCs w:val="18"/>
              </w:rPr>
              <w:t>Acquisizione forniture/servizi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BF488D" w:rsidRPr="004F2FA4" w:rsidRDefault="00BF488D" w:rsidP="00A11F01">
            <w:pPr>
              <w:spacing w:line="0" w:lineRule="atLeast"/>
              <w:rPr>
                <w:rFonts w:ascii="Arial" w:eastAsia="Times New Roman" w:hAnsi="Arial"/>
                <w:sz w:val="21"/>
              </w:rPr>
            </w:pPr>
          </w:p>
        </w:tc>
      </w:tr>
      <w:tr w:rsidR="00BF488D" w:rsidTr="0085577F">
        <w:trPr>
          <w:trHeight w:val="215"/>
        </w:trPr>
        <w:tc>
          <w:tcPr>
            <w:tcW w:w="3300" w:type="dxa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BF488D" w:rsidRDefault="00BF488D" w:rsidP="005C7707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2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89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D458BD" w:rsidTr="00D458BD">
        <w:trPr>
          <w:trHeight w:val="178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D458BD" w:rsidRDefault="00DC3388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Default="009B3E20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01/06</w:t>
            </w:r>
            <w:r w:rsidR="004203EC">
              <w:rPr>
                <w:rFonts w:ascii="Arial" w:eastAsia="Arial" w:hAnsi="Arial"/>
                <w:b/>
                <w:sz w:val="16"/>
              </w:rPr>
              <w:t>/2021</w:t>
            </w: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Default="009B3E20" w:rsidP="000A01D6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  <w:r w:rsidR="000A01D6">
              <w:rPr>
                <w:rFonts w:ascii="Arial" w:eastAsia="Arial" w:hAnsi="Arial"/>
                <w:b/>
                <w:sz w:val="16"/>
              </w:rPr>
              <w:t>0/09</w:t>
            </w:r>
            <w:r w:rsidR="004259A4">
              <w:rPr>
                <w:rFonts w:ascii="Arial" w:eastAsia="Arial" w:hAnsi="Arial"/>
                <w:b/>
                <w:sz w:val="16"/>
              </w:rPr>
              <w:t>/2021</w:t>
            </w:r>
          </w:p>
        </w:tc>
      </w:tr>
      <w:tr w:rsidR="00D458BD" w:rsidTr="0085577F">
        <w:trPr>
          <w:trHeight w:val="150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CF6B8A" w:rsidTr="004259A4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F6B8A" w:rsidRDefault="004259A4" w:rsidP="004259A4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Procedura di gara/stipula contratto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261875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</w:t>
            </w:r>
            <w:r w:rsidR="00581E3C">
              <w:rPr>
                <w:rFonts w:ascii="Arial" w:eastAsia="Arial" w:hAnsi="Arial"/>
                <w:b/>
                <w:sz w:val="16"/>
              </w:rPr>
              <w:t>/</w:t>
            </w:r>
            <w:r w:rsidR="000A01D6">
              <w:rPr>
                <w:rFonts w:ascii="Arial" w:eastAsia="Arial" w:hAnsi="Arial"/>
                <w:b/>
                <w:sz w:val="16"/>
              </w:rPr>
              <w:t>10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B3E20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  <w:r w:rsidR="00261875">
              <w:rPr>
                <w:rFonts w:ascii="Arial" w:eastAsia="Arial" w:hAnsi="Arial"/>
                <w:b/>
                <w:sz w:val="16"/>
              </w:rPr>
              <w:t>1</w:t>
            </w:r>
            <w:r w:rsidR="00054757">
              <w:rPr>
                <w:rFonts w:ascii="Arial" w:eastAsia="Arial" w:hAnsi="Arial"/>
                <w:b/>
                <w:sz w:val="16"/>
              </w:rPr>
              <w:t>/01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 w:rsidR="00054757">
              <w:rPr>
                <w:rFonts w:ascii="Arial" w:eastAsia="Arial" w:hAnsi="Arial"/>
                <w:b/>
                <w:sz w:val="16"/>
              </w:rPr>
              <w:t>2</w:t>
            </w:r>
          </w:p>
        </w:tc>
      </w:tr>
      <w:tr w:rsidR="00CF6B8A" w:rsidTr="0085577F">
        <w:trPr>
          <w:trHeight w:val="211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F6B8A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F6B8A" w:rsidTr="00CF6B8A">
        <w:trPr>
          <w:trHeight w:val="180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1331F0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Esecuzione</w:t>
            </w:r>
            <w:r w:rsidR="00237FE1"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1331F0">
              <w:rPr>
                <w:rFonts w:ascii="Arial" w:eastAsia="Arial" w:hAnsi="Arial"/>
                <w:b/>
                <w:sz w:val="16"/>
              </w:rPr>
              <w:t>servizi</w:t>
            </w:r>
            <w:r w:rsidR="006F18CF">
              <w:rPr>
                <w:rFonts w:ascii="Arial" w:eastAsia="Arial" w:hAnsi="Arial"/>
                <w:b/>
                <w:sz w:val="16"/>
              </w:rPr>
              <w:t xml:space="preserve">/ </w:t>
            </w:r>
            <w:r w:rsidR="001331F0">
              <w:rPr>
                <w:rFonts w:ascii="Arial" w:eastAsia="Arial" w:hAnsi="Arial"/>
                <w:b/>
                <w:sz w:val="16"/>
              </w:rPr>
              <w:t>forniture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B3E20" w:rsidP="000B3231">
            <w:pPr>
              <w:spacing w:line="179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</w:t>
            </w:r>
            <w:r w:rsidR="00581E3C">
              <w:rPr>
                <w:rFonts w:ascii="Arial" w:eastAsia="Arial" w:hAnsi="Arial"/>
                <w:b/>
                <w:sz w:val="16"/>
              </w:rPr>
              <w:t>/</w:t>
            </w:r>
            <w:r w:rsidR="00054757">
              <w:rPr>
                <w:rFonts w:ascii="Arial" w:eastAsia="Arial" w:hAnsi="Arial"/>
                <w:b/>
                <w:sz w:val="16"/>
              </w:rPr>
              <w:t>02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 w:rsidR="00054757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054757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30/04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2</w:t>
            </w:r>
          </w:p>
        </w:tc>
      </w:tr>
      <w:tr w:rsidR="00CF6B8A" w:rsidTr="0085577F">
        <w:trPr>
          <w:trHeight w:val="14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BC1484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Verifiche e controlli</w:t>
            </w:r>
            <w:r w:rsidR="00CF6B8A">
              <w:rPr>
                <w:rFonts w:ascii="Arial" w:eastAsia="Arial" w:hAnsi="Arial"/>
                <w:b/>
                <w:sz w:val="16"/>
              </w:rPr>
              <w:t>/funzionalità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B3E20" w:rsidP="000A01D6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</w:t>
            </w:r>
            <w:r w:rsidR="000A01D6">
              <w:rPr>
                <w:rFonts w:ascii="Arial" w:eastAsia="Arial" w:hAnsi="Arial"/>
                <w:b/>
                <w:sz w:val="16"/>
              </w:rPr>
              <w:t>5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B3E20" w:rsidP="000A01D6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31/0</w:t>
            </w:r>
            <w:r w:rsidR="000A01D6">
              <w:rPr>
                <w:rFonts w:ascii="Arial" w:eastAsia="Arial" w:hAnsi="Arial"/>
                <w:b/>
                <w:sz w:val="16"/>
              </w:rPr>
              <w:t>5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2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B3231" w:rsidTr="00680B25">
        <w:trPr>
          <w:trHeight w:val="244"/>
        </w:trPr>
        <w:tc>
          <w:tcPr>
            <w:tcW w:w="9660" w:type="dxa"/>
            <w:gridSpan w:val="4"/>
            <w:shd w:val="clear" w:color="auto" w:fill="auto"/>
            <w:vAlign w:val="bottom"/>
          </w:tcPr>
          <w:p w:rsidR="000B3231" w:rsidRPr="004F2FA4" w:rsidRDefault="000B3231" w:rsidP="00A11F01">
            <w:pPr>
              <w:spacing w:line="0" w:lineRule="atLeast"/>
              <w:rPr>
                <w:rFonts w:ascii="Arial" w:eastAsia="Times New Roman" w:hAnsi="Arial"/>
              </w:rPr>
            </w:pPr>
          </w:p>
          <w:p w:rsidR="004F2FA4" w:rsidRPr="004F2FA4" w:rsidRDefault="004F2FA4" w:rsidP="00A11F01">
            <w:pPr>
              <w:spacing w:line="0" w:lineRule="atLeast"/>
              <w:rPr>
                <w:rFonts w:ascii="Arial" w:eastAsia="Times New Roman" w:hAnsi="Arial"/>
                <w:sz w:val="18"/>
                <w:szCs w:val="18"/>
              </w:rPr>
            </w:pPr>
            <w:r w:rsidRPr="004F2FA4">
              <w:rPr>
                <w:rFonts w:ascii="Arial" w:eastAsia="Times New Roman" w:hAnsi="Arial"/>
                <w:sz w:val="18"/>
                <w:szCs w:val="18"/>
              </w:rPr>
              <w:t>Realizzazione lavori</w:t>
            </w:r>
            <w:r>
              <w:rPr>
                <w:rFonts w:ascii="Arial" w:eastAsia="Times New Roman" w:hAnsi="Arial"/>
                <w:sz w:val="18"/>
                <w:szCs w:val="18"/>
              </w:rPr>
              <w:t xml:space="preserve"> PES Arrone</w:t>
            </w:r>
          </w:p>
          <w:tbl>
            <w:tblPr>
              <w:tblW w:w="966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0"/>
              <w:gridCol w:w="120"/>
              <w:gridCol w:w="3951"/>
              <w:gridCol w:w="2289"/>
            </w:tblGrid>
            <w:tr w:rsidR="004F2FA4" w:rsidTr="00F67FBD">
              <w:trPr>
                <w:trHeight w:val="215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808080"/>
                  </w:tcBorders>
                  <w:shd w:val="clear" w:color="auto" w:fill="808080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2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Fasi</w:t>
                  </w:r>
                </w:p>
              </w:tc>
              <w:tc>
                <w:tcPr>
                  <w:tcW w:w="120" w:type="dxa"/>
                  <w:tcBorders>
                    <w:bottom w:val="single" w:sz="8" w:space="0" w:color="808080"/>
                    <w:right w:val="single" w:sz="8" w:space="0" w:color="auto"/>
                  </w:tcBorders>
                  <w:shd w:val="clear" w:color="auto" w:fill="808080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</w:rPr>
                  </w:pPr>
                </w:p>
              </w:tc>
              <w:tc>
                <w:tcPr>
                  <w:tcW w:w="3951" w:type="dxa"/>
                  <w:tcBorders>
                    <w:bottom w:val="single" w:sz="8" w:space="0" w:color="808080"/>
                    <w:right w:val="single" w:sz="8" w:space="0" w:color="auto"/>
                  </w:tcBorders>
                  <w:shd w:val="clear" w:color="auto" w:fill="808080"/>
                  <w:vAlign w:val="bottom"/>
                </w:tcPr>
                <w:p w:rsidR="004F2FA4" w:rsidRDefault="004F2FA4" w:rsidP="001331F0">
                  <w:pPr>
                    <w:spacing w:line="177" w:lineRule="exact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Data inizio prevista</w:t>
                  </w:r>
                </w:p>
              </w:tc>
              <w:tc>
                <w:tcPr>
                  <w:tcW w:w="2289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808080"/>
                  <w:vAlign w:val="bottom"/>
                </w:tcPr>
                <w:p w:rsidR="004F2FA4" w:rsidRDefault="004F2FA4" w:rsidP="001331F0">
                  <w:pPr>
                    <w:spacing w:line="177" w:lineRule="exact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Data fine prevista</w:t>
                  </w:r>
                </w:p>
              </w:tc>
            </w:tr>
            <w:tr w:rsidR="004F2FA4" w:rsidTr="00F67FBD">
              <w:trPr>
                <w:trHeight w:val="178"/>
              </w:trPr>
              <w:tc>
                <w:tcPr>
                  <w:tcW w:w="3300" w:type="dxa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726056">
                    <w:rPr>
                      <w:rFonts w:ascii="Arial" w:eastAsia="Arial" w:hAnsi="Arial"/>
                      <w:b/>
                      <w:sz w:val="16"/>
                    </w:rPr>
                    <w:t>Fattibilità tecnica ed economica</w:t>
                  </w:r>
                </w:p>
              </w:tc>
              <w:tc>
                <w:tcPr>
                  <w:tcW w:w="120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51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9B3E20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01/06</w:t>
                  </w:r>
                  <w:r w:rsidR="004F2FA4">
                    <w:rPr>
                      <w:rFonts w:ascii="Arial" w:eastAsia="Arial" w:hAnsi="Arial"/>
                      <w:b/>
                      <w:sz w:val="16"/>
                    </w:rPr>
                    <w:t>/2021</w:t>
                  </w:r>
                </w:p>
              </w:tc>
              <w:tc>
                <w:tcPr>
                  <w:tcW w:w="2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A01D6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30/06</w:t>
                  </w:r>
                  <w:r w:rsidR="004F2FA4">
                    <w:rPr>
                      <w:rFonts w:ascii="Arial" w:eastAsia="Arial" w:hAnsi="Arial"/>
                      <w:b/>
                      <w:sz w:val="16"/>
                    </w:rPr>
                    <w:t>/2021</w:t>
                  </w:r>
                </w:p>
              </w:tc>
            </w:tr>
            <w:tr w:rsidR="004F2FA4" w:rsidTr="00F67FBD">
              <w:trPr>
                <w:trHeight w:val="150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  <w:tc>
                <w:tcPr>
                  <w:tcW w:w="1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60"/>
                    <w:jc w:val="center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</w:tr>
            <w:tr w:rsidR="004F2FA4" w:rsidTr="00F67FBD">
              <w:trPr>
                <w:trHeight w:val="178"/>
              </w:trPr>
              <w:tc>
                <w:tcPr>
                  <w:tcW w:w="3300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Progettazione definitiva</w:t>
                  </w:r>
                </w:p>
              </w:tc>
              <w:tc>
                <w:tcPr>
                  <w:tcW w:w="1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51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A01D6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01/07</w:t>
                  </w:r>
                  <w:r w:rsidR="004F2FA4">
                    <w:rPr>
                      <w:rFonts w:ascii="Arial" w:eastAsia="Arial" w:hAnsi="Arial"/>
                      <w:b/>
                      <w:sz w:val="16"/>
                    </w:rPr>
                    <w:t>/2021</w:t>
                  </w:r>
                </w:p>
              </w:tc>
              <w:tc>
                <w:tcPr>
                  <w:tcW w:w="2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54757" w:rsidP="00054757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30/09</w:t>
                  </w:r>
                  <w:r w:rsidR="004F2FA4">
                    <w:rPr>
                      <w:rFonts w:ascii="Arial" w:eastAsia="Arial" w:hAnsi="Arial"/>
                      <w:b/>
                      <w:sz w:val="16"/>
                    </w:rPr>
                    <w:t>/2021</w:t>
                  </w:r>
                </w:p>
              </w:tc>
            </w:tr>
            <w:tr w:rsidR="004F2FA4" w:rsidTr="00F67FBD">
              <w:trPr>
                <w:trHeight w:val="148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60"/>
                    <w:jc w:val="center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  <w:tr w:rsidR="004F2FA4" w:rsidTr="00F67FBD">
              <w:trPr>
                <w:trHeight w:val="178"/>
              </w:trPr>
              <w:tc>
                <w:tcPr>
                  <w:tcW w:w="3300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Progettazione esecutiva</w:t>
                  </w:r>
                </w:p>
              </w:tc>
              <w:tc>
                <w:tcPr>
                  <w:tcW w:w="1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51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54757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01/10</w:t>
                  </w:r>
                  <w:r w:rsidR="004F2FA4">
                    <w:rPr>
                      <w:rFonts w:ascii="Arial" w:eastAsia="Arial" w:hAnsi="Arial"/>
                      <w:b/>
                      <w:sz w:val="16"/>
                    </w:rPr>
                    <w:t>/2021</w:t>
                  </w:r>
                </w:p>
              </w:tc>
              <w:tc>
                <w:tcPr>
                  <w:tcW w:w="2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4F2FA4" w:rsidP="000A01D6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</w:t>
                  </w:r>
                  <w:r w:rsidR="00054757">
                    <w:rPr>
                      <w:rFonts w:ascii="Arial" w:eastAsia="Arial" w:hAnsi="Arial"/>
                      <w:b/>
                      <w:sz w:val="16"/>
                    </w:rPr>
                    <w:t>1/10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/2021</w:t>
                  </w:r>
                </w:p>
              </w:tc>
            </w:tr>
            <w:tr w:rsidR="004F2FA4" w:rsidTr="00F67FBD">
              <w:trPr>
                <w:trHeight w:val="148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  <w:tr w:rsidR="004F2FA4" w:rsidTr="00F67FBD">
              <w:trPr>
                <w:trHeight w:val="178"/>
              </w:trPr>
              <w:tc>
                <w:tcPr>
                  <w:tcW w:w="3300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E338B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Pubblicaz</w:t>
                  </w:r>
                  <w:r w:rsidR="001E338B">
                    <w:rPr>
                      <w:rFonts w:ascii="Arial" w:eastAsia="Arial" w:hAnsi="Arial"/>
                      <w:b/>
                      <w:sz w:val="16"/>
                    </w:rPr>
                    <w:t>ione bando/Affidamento lavori</w:t>
                  </w:r>
                </w:p>
              </w:tc>
              <w:tc>
                <w:tcPr>
                  <w:tcW w:w="1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51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54757" w:rsidP="00054757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01/11</w:t>
                  </w:r>
                  <w:r w:rsidR="004F2FA4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2</w:t>
                  </w:r>
                </w:p>
              </w:tc>
              <w:tc>
                <w:tcPr>
                  <w:tcW w:w="2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54757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28/02/2022</w:t>
                  </w:r>
                </w:p>
              </w:tc>
            </w:tr>
            <w:tr w:rsidR="004F2FA4" w:rsidTr="00F67FBD">
              <w:trPr>
                <w:trHeight w:val="211"/>
              </w:trPr>
              <w:tc>
                <w:tcPr>
                  <w:tcW w:w="3300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E338B">
                  <w:pPr>
                    <w:spacing w:line="0" w:lineRule="atLeast"/>
                    <w:rPr>
                      <w:rFonts w:ascii="Arial" w:eastAsia="Arial" w:hAnsi="Arial"/>
                      <w:b/>
                      <w:sz w:val="16"/>
                    </w:rPr>
                  </w:pPr>
                </w:p>
              </w:tc>
              <w:tc>
                <w:tcPr>
                  <w:tcW w:w="1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</w:rPr>
                  </w:pPr>
                </w:p>
              </w:tc>
            </w:tr>
            <w:tr w:rsidR="004F2FA4" w:rsidTr="00F67FBD">
              <w:trPr>
                <w:trHeight w:val="126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0"/>
                    </w:rPr>
                  </w:pPr>
                </w:p>
              </w:tc>
              <w:tc>
                <w:tcPr>
                  <w:tcW w:w="1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0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0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0"/>
                    </w:rPr>
                  </w:pPr>
                </w:p>
              </w:tc>
            </w:tr>
            <w:tr w:rsidR="004F2FA4" w:rsidTr="00F67FBD">
              <w:trPr>
                <w:trHeight w:val="180"/>
              </w:trPr>
              <w:tc>
                <w:tcPr>
                  <w:tcW w:w="3300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E338B">
                  <w:pPr>
                    <w:spacing w:line="179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 xml:space="preserve">Esecuzione  </w:t>
                  </w:r>
                  <w:r w:rsidR="001E338B">
                    <w:rPr>
                      <w:rFonts w:ascii="Arial" w:eastAsia="Arial" w:hAnsi="Arial"/>
                      <w:b/>
                      <w:sz w:val="16"/>
                    </w:rPr>
                    <w:t>lavori</w:t>
                  </w:r>
                </w:p>
              </w:tc>
              <w:tc>
                <w:tcPr>
                  <w:tcW w:w="1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51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054757" w:rsidP="001331F0">
                  <w:pPr>
                    <w:spacing w:line="179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</w:t>
                  </w:r>
                  <w:r w:rsidR="00BB63C3">
                    <w:rPr>
                      <w:rFonts w:ascii="Arial" w:eastAsia="Arial" w:hAnsi="Arial"/>
                      <w:b/>
                      <w:sz w:val="16"/>
                    </w:rPr>
                    <w:t>/03/2022</w:t>
                  </w:r>
                </w:p>
              </w:tc>
              <w:tc>
                <w:tcPr>
                  <w:tcW w:w="2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BB63C3" w:rsidP="00BB63C3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31/07/2022</w:t>
                  </w:r>
                </w:p>
              </w:tc>
            </w:tr>
            <w:tr w:rsidR="004F2FA4" w:rsidTr="00F67FBD">
              <w:trPr>
                <w:trHeight w:val="146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  <w:tr w:rsidR="004F2FA4" w:rsidTr="00F67FBD">
              <w:trPr>
                <w:trHeight w:val="178"/>
              </w:trPr>
              <w:tc>
                <w:tcPr>
                  <w:tcW w:w="3300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Collaudo/funzionalità</w:t>
                  </w:r>
                </w:p>
              </w:tc>
              <w:tc>
                <w:tcPr>
                  <w:tcW w:w="1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51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BB63C3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01/08/2022</w:t>
                  </w:r>
                </w:p>
              </w:tc>
              <w:tc>
                <w:tcPr>
                  <w:tcW w:w="2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2FA4" w:rsidRDefault="00BB63C3" w:rsidP="001331F0">
                  <w:pPr>
                    <w:spacing w:line="177" w:lineRule="exact"/>
                    <w:ind w:left="60"/>
                    <w:jc w:val="center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31/08/2022</w:t>
                  </w:r>
                </w:p>
              </w:tc>
            </w:tr>
            <w:tr w:rsidR="004F2FA4" w:rsidTr="00F67FBD">
              <w:trPr>
                <w:trHeight w:val="148"/>
              </w:trPr>
              <w:tc>
                <w:tcPr>
                  <w:tcW w:w="330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51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F2FA4" w:rsidRDefault="004F2FA4" w:rsidP="001331F0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</w:tbl>
          <w:p w:rsidR="004F2FA4" w:rsidRDefault="004F2FA4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  <w:p w:rsidR="000B3231" w:rsidRPr="000A42BF" w:rsidRDefault="000A42BF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  <w:r w:rsidRPr="000A42BF">
              <w:rPr>
                <w:rFonts w:asciiTheme="minorHAnsi" w:eastAsia="Times New Roman" w:hAnsiTheme="minorHAnsi"/>
                <w:b/>
              </w:rPr>
              <w:t>Data inizio intervento</w:t>
            </w:r>
            <w:r w:rsidR="00AE10B6">
              <w:rPr>
                <w:rFonts w:asciiTheme="minorHAnsi" w:eastAsia="Times New Roman" w:hAnsiTheme="minorHAnsi"/>
              </w:rPr>
              <w:t>: 1</w:t>
            </w:r>
            <w:r w:rsidRPr="000A42BF">
              <w:rPr>
                <w:rFonts w:asciiTheme="minorHAnsi" w:eastAsia="Times New Roman" w:hAnsiTheme="minorHAnsi"/>
              </w:rPr>
              <w:t xml:space="preserve"> </w:t>
            </w:r>
            <w:r w:rsidR="009B3E20">
              <w:rPr>
                <w:rFonts w:asciiTheme="minorHAnsi" w:eastAsia="Times New Roman" w:hAnsiTheme="minorHAnsi"/>
              </w:rPr>
              <w:t>giugno</w:t>
            </w:r>
            <w:r w:rsidR="00AE10B6">
              <w:rPr>
                <w:rFonts w:asciiTheme="minorHAnsi" w:eastAsia="Times New Roman" w:hAnsiTheme="minorHAnsi"/>
              </w:rPr>
              <w:t xml:space="preserve"> </w:t>
            </w:r>
            <w:r w:rsidRPr="000A42BF">
              <w:rPr>
                <w:rFonts w:asciiTheme="minorHAnsi" w:eastAsia="Times New Roman" w:hAnsiTheme="minorHAnsi"/>
              </w:rPr>
              <w:t>2021</w:t>
            </w:r>
          </w:p>
          <w:p w:rsidR="000A42BF" w:rsidRPr="000A42BF" w:rsidRDefault="000A42BF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  <w:r w:rsidRPr="000A42BF">
              <w:rPr>
                <w:rFonts w:asciiTheme="minorHAnsi" w:eastAsia="Times New Roman" w:hAnsiTheme="minorHAnsi"/>
                <w:b/>
              </w:rPr>
              <w:t>Data fine intervento</w:t>
            </w:r>
            <w:r w:rsidRPr="000A42BF">
              <w:rPr>
                <w:rFonts w:asciiTheme="minorHAnsi" w:eastAsia="Times New Roman" w:hAnsiTheme="minorHAnsi"/>
              </w:rPr>
              <w:t xml:space="preserve">: 31 </w:t>
            </w:r>
            <w:r w:rsidR="00BB63C3">
              <w:rPr>
                <w:rFonts w:asciiTheme="minorHAnsi" w:eastAsia="Times New Roman" w:hAnsiTheme="minorHAnsi"/>
              </w:rPr>
              <w:t>agosto 2022</w:t>
            </w:r>
          </w:p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  <w:p w:rsidR="000B3231" w:rsidRDefault="000B3231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B3231" w:rsidTr="0085577F">
        <w:trPr>
          <w:trHeight w:val="244"/>
        </w:trPr>
        <w:tc>
          <w:tcPr>
            <w:tcW w:w="3300" w:type="dxa"/>
            <w:shd w:val="clear" w:color="auto" w:fill="auto"/>
            <w:vAlign w:val="bottom"/>
          </w:tcPr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71" w:type="dxa"/>
            <w:gridSpan w:val="2"/>
            <w:shd w:val="clear" w:color="auto" w:fill="auto"/>
            <w:vAlign w:val="bottom"/>
          </w:tcPr>
          <w:p w:rsidR="000B3231" w:rsidRDefault="000B3231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finanziario</w:t>
            </w:r>
            <w:r w:rsidR="00906E17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:rsidR="002E561F" w:rsidRDefault="002E561F"/>
    <w:tbl>
      <w:tblPr>
        <w:tblW w:w="9660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289"/>
      </w:tblGrid>
      <w:tr w:rsidR="002E561F" w:rsidRPr="002E561F" w:rsidTr="0013176C">
        <w:trPr>
          <w:trHeight w:val="218"/>
        </w:trPr>
        <w:tc>
          <w:tcPr>
            <w:tcW w:w="7371" w:type="dxa"/>
            <w:shd w:val="clear" w:color="auto" w:fill="808080"/>
            <w:vAlign w:val="bottom"/>
          </w:tcPr>
          <w:p w:rsidR="002E561F" w:rsidRPr="002E561F" w:rsidRDefault="002E561F" w:rsidP="002E561F">
            <w:pPr>
              <w:spacing w:line="177" w:lineRule="exact"/>
              <w:rPr>
                <w:rFonts w:eastAsia="Arial"/>
                <w:b/>
              </w:rPr>
            </w:pPr>
            <w:r w:rsidRPr="002E561F">
              <w:rPr>
                <w:rFonts w:eastAsia="Arial"/>
                <w:b/>
              </w:rPr>
              <w:t>Anno</w:t>
            </w:r>
          </w:p>
        </w:tc>
        <w:tc>
          <w:tcPr>
            <w:tcW w:w="2289" w:type="dxa"/>
            <w:shd w:val="clear" w:color="auto" w:fill="808080"/>
            <w:vAlign w:val="bottom"/>
          </w:tcPr>
          <w:p w:rsidR="002E561F" w:rsidRPr="002E561F" w:rsidRDefault="002E561F" w:rsidP="002E561F">
            <w:pPr>
              <w:spacing w:line="177" w:lineRule="exact"/>
              <w:rPr>
                <w:rFonts w:eastAsia="Arial"/>
                <w:b/>
              </w:rPr>
            </w:pPr>
            <w:r w:rsidRPr="002E561F">
              <w:rPr>
                <w:rFonts w:eastAsia="Arial"/>
                <w:b/>
              </w:rPr>
              <w:t>Costo</w:t>
            </w:r>
          </w:p>
        </w:tc>
      </w:tr>
      <w:tr w:rsidR="002E561F" w:rsidRPr="002E561F" w:rsidTr="0013176C">
        <w:trPr>
          <w:trHeight w:val="324"/>
        </w:trPr>
        <w:tc>
          <w:tcPr>
            <w:tcW w:w="7371" w:type="dxa"/>
            <w:shd w:val="clear" w:color="auto" w:fill="auto"/>
            <w:vAlign w:val="center"/>
          </w:tcPr>
          <w:p w:rsidR="002E561F" w:rsidRPr="002E561F" w:rsidRDefault="00BE40DC" w:rsidP="002E561F">
            <w:pPr>
              <w:spacing w:line="177" w:lineRule="exact"/>
              <w:ind w:left="6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2022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2E561F" w:rsidRPr="002E561F" w:rsidRDefault="002E561F" w:rsidP="002E561F">
            <w:pPr>
              <w:spacing w:line="177" w:lineRule="exact"/>
              <w:ind w:right="6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230.0</w:t>
            </w:r>
            <w:r w:rsidRPr="002E561F">
              <w:rPr>
                <w:rFonts w:eastAsia="Arial"/>
                <w:b/>
              </w:rPr>
              <w:t>00,00</w:t>
            </w:r>
          </w:p>
        </w:tc>
      </w:tr>
      <w:tr w:rsidR="002E561F" w:rsidRPr="002E561F" w:rsidTr="0013176C">
        <w:trPr>
          <w:trHeight w:val="336"/>
        </w:trPr>
        <w:tc>
          <w:tcPr>
            <w:tcW w:w="7371" w:type="dxa"/>
            <w:shd w:val="clear" w:color="auto" w:fill="auto"/>
            <w:vAlign w:val="center"/>
          </w:tcPr>
          <w:p w:rsidR="002E561F" w:rsidRPr="002E561F" w:rsidRDefault="002E561F" w:rsidP="002E561F">
            <w:pPr>
              <w:spacing w:line="179" w:lineRule="exact"/>
              <w:ind w:left="60"/>
              <w:jc w:val="center"/>
              <w:rPr>
                <w:rFonts w:eastAsia="Arial"/>
                <w:b/>
              </w:rPr>
            </w:pPr>
            <w:r w:rsidRPr="002E561F">
              <w:rPr>
                <w:rFonts w:eastAsia="Arial"/>
                <w:b/>
              </w:rPr>
              <w:t>Costo totale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2E561F" w:rsidRPr="002E561F" w:rsidRDefault="002E561F" w:rsidP="002E561F">
            <w:pPr>
              <w:spacing w:line="179" w:lineRule="exact"/>
              <w:ind w:right="6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230</w:t>
            </w:r>
            <w:r w:rsidRPr="002E561F">
              <w:rPr>
                <w:rFonts w:eastAsia="Arial"/>
                <w:b/>
              </w:rPr>
              <w:t>.000,00</w:t>
            </w:r>
          </w:p>
        </w:tc>
      </w:tr>
    </w:tbl>
    <w:p w:rsidR="002E561F" w:rsidRDefault="002E561F"/>
    <w:sectPr w:rsidR="002E561F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356809A8"/>
    <w:multiLevelType w:val="hybridMultilevel"/>
    <w:tmpl w:val="BAEEEF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4">
    <w:nsid w:val="42686035"/>
    <w:multiLevelType w:val="hybridMultilevel"/>
    <w:tmpl w:val="02304608"/>
    <w:lvl w:ilvl="0" w:tplc="7F98675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6F3C90"/>
    <w:multiLevelType w:val="hybridMultilevel"/>
    <w:tmpl w:val="6570FEE6"/>
    <w:lvl w:ilvl="0" w:tplc="A022AA8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13818"/>
    <w:rsid w:val="00017EA4"/>
    <w:rsid w:val="00021BFA"/>
    <w:rsid w:val="00027944"/>
    <w:rsid w:val="00035F6D"/>
    <w:rsid w:val="0004086A"/>
    <w:rsid w:val="00042BB6"/>
    <w:rsid w:val="00044CDC"/>
    <w:rsid w:val="00054757"/>
    <w:rsid w:val="00076E1D"/>
    <w:rsid w:val="000A01D6"/>
    <w:rsid w:val="000A2EEF"/>
    <w:rsid w:val="000A42BF"/>
    <w:rsid w:val="000B3231"/>
    <w:rsid w:val="000D7D99"/>
    <w:rsid w:val="000E17C5"/>
    <w:rsid w:val="000E3A74"/>
    <w:rsid w:val="00101C60"/>
    <w:rsid w:val="00114B5E"/>
    <w:rsid w:val="0013176C"/>
    <w:rsid w:val="001331F0"/>
    <w:rsid w:val="00162E49"/>
    <w:rsid w:val="00196737"/>
    <w:rsid w:val="00196D20"/>
    <w:rsid w:val="001B4FF5"/>
    <w:rsid w:val="001E338B"/>
    <w:rsid w:val="001E35D9"/>
    <w:rsid w:val="001F7F72"/>
    <w:rsid w:val="00202337"/>
    <w:rsid w:val="00205BFD"/>
    <w:rsid w:val="00221211"/>
    <w:rsid w:val="00237FE1"/>
    <w:rsid w:val="00242CD7"/>
    <w:rsid w:val="0024570E"/>
    <w:rsid w:val="00252FA3"/>
    <w:rsid w:val="00261875"/>
    <w:rsid w:val="002B513E"/>
    <w:rsid w:val="002C757B"/>
    <w:rsid w:val="002E561F"/>
    <w:rsid w:val="003169B1"/>
    <w:rsid w:val="003376F5"/>
    <w:rsid w:val="003447C9"/>
    <w:rsid w:val="003457CD"/>
    <w:rsid w:val="003D1B80"/>
    <w:rsid w:val="004014B7"/>
    <w:rsid w:val="004159CC"/>
    <w:rsid w:val="004203EC"/>
    <w:rsid w:val="004259A4"/>
    <w:rsid w:val="00433E4F"/>
    <w:rsid w:val="004524A1"/>
    <w:rsid w:val="00475651"/>
    <w:rsid w:val="00480DC7"/>
    <w:rsid w:val="004A79C6"/>
    <w:rsid w:val="004B09DF"/>
    <w:rsid w:val="004C4AEA"/>
    <w:rsid w:val="004D035E"/>
    <w:rsid w:val="004D167A"/>
    <w:rsid w:val="004D2180"/>
    <w:rsid w:val="004F2FA4"/>
    <w:rsid w:val="004F4520"/>
    <w:rsid w:val="005032B8"/>
    <w:rsid w:val="00532D3E"/>
    <w:rsid w:val="00535BF2"/>
    <w:rsid w:val="00572E47"/>
    <w:rsid w:val="00581E3C"/>
    <w:rsid w:val="00585080"/>
    <w:rsid w:val="00596069"/>
    <w:rsid w:val="005C479D"/>
    <w:rsid w:val="005C7707"/>
    <w:rsid w:val="005D3533"/>
    <w:rsid w:val="005E614D"/>
    <w:rsid w:val="005E65DF"/>
    <w:rsid w:val="005F0964"/>
    <w:rsid w:val="005F3453"/>
    <w:rsid w:val="0060655C"/>
    <w:rsid w:val="0065405E"/>
    <w:rsid w:val="006755A5"/>
    <w:rsid w:val="00680B25"/>
    <w:rsid w:val="006A1B8B"/>
    <w:rsid w:val="006A7AD8"/>
    <w:rsid w:val="006F18CF"/>
    <w:rsid w:val="006F6E94"/>
    <w:rsid w:val="00706F1B"/>
    <w:rsid w:val="00721A85"/>
    <w:rsid w:val="00726056"/>
    <w:rsid w:val="00747DEC"/>
    <w:rsid w:val="0076026C"/>
    <w:rsid w:val="007658B4"/>
    <w:rsid w:val="00777001"/>
    <w:rsid w:val="007802EF"/>
    <w:rsid w:val="00796EC3"/>
    <w:rsid w:val="007D3961"/>
    <w:rsid w:val="007D4438"/>
    <w:rsid w:val="007D6D2E"/>
    <w:rsid w:val="007E2189"/>
    <w:rsid w:val="00804ACD"/>
    <w:rsid w:val="0081551E"/>
    <w:rsid w:val="008164FC"/>
    <w:rsid w:val="00824F2B"/>
    <w:rsid w:val="008409DA"/>
    <w:rsid w:val="0085577F"/>
    <w:rsid w:val="00871276"/>
    <w:rsid w:val="008D56DF"/>
    <w:rsid w:val="00906E17"/>
    <w:rsid w:val="009258B6"/>
    <w:rsid w:val="009308FE"/>
    <w:rsid w:val="0095516D"/>
    <w:rsid w:val="00975CF5"/>
    <w:rsid w:val="009B3E20"/>
    <w:rsid w:val="009C4FAF"/>
    <w:rsid w:val="00A0314B"/>
    <w:rsid w:val="00A11F01"/>
    <w:rsid w:val="00A54088"/>
    <w:rsid w:val="00A5556C"/>
    <w:rsid w:val="00AB4E7D"/>
    <w:rsid w:val="00AD72AE"/>
    <w:rsid w:val="00AE10B6"/>
    <w:rsid w:val="00AE4EB2"/>
    <w:rsid w:val="00AE537C"/>
    <w:rsid w:val="00B50248"/>
    <w:rsid w:val="00B5741C"/>
    <w:rsid w:val="00B873D2"/>
    <w:rsid w:val="00B87572"/>
    <w:rsid w:val="00B9202B"/>
    <w:rsid w:val="00BA0393"/>
    <w:rsid w:val="00BB63C3"/>
    <w:rsid w:val="00BC1484"/>
    <w:rsid w:val="00BE40DC"/>
    <w:rsid w:val="00BF488D"/>
    <w:rsid w:val="00C07C8D"/>
    <w:rsid w:val="00C23CB3"/>
    <w:rsid w:val="00C23D4D"/>
    <w:rsid w:val="00C26051"/>
    <w:rsid w:val="00C42622"/>
    <w:rsid w:val="00C632DD"/>
    <w:rsid w:val="00C7194D"/>
    <w:rsid w:val="00CC2FB7"/>
    <w:rsid w:val="00CF6B8A"/>
    <w:rsid w:val="00D11E4C"/>
    <w:rsid w:val="00D21C91"/>
    <w:rsid w:val="00D25191"/>
    <w:rsid w:val="00D30549"/>
    <w:rsid w:val="00D458BD"/>
    <w:rsid w:val="00D57503"/>
    <w:rsid w:val="00D73770"/>
    <w:rsid w:val="00DB3D05"/>
    <w:rsid w:val="00DC3388"/>
    <w:rsid w:val="00DC41A5"/>
    <w:rsid w:val="00DC4D70"/>
    <w:rsid w:val="00DC6660"/>
    <w:rsid w:val="00DC7CA1"/>
    <w:rsid w:val="00DE3487"/>
    <w:rsid w:val="00E248ED"/>
    <w:rsid w:val="00E5072E"/>
    <w:rsid w:val="00E5402E"/>
    <w:rsid w:val="00E566D0"/>
    <w:rsid w:val="00E660F8"/>
    <w:rsid w:val="00EB656D"/>
    <w:rsid w:val="00EE41B3"/>
    <w:rsid w:val="00F666B4"/>
    <w:rsid w:val="00F67FBD"/>
    <w:rsid w:val="00F76B1C"/>
    <w:rsid w:val="00FA7CC6"/>
    <w:rsid w:val="00FC2E0D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E2189"/>
    <w:pPr>
      <w:spacing w:after="34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E2189"/>
    <w:pPr>
      <w:spacing w:after="3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7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3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3133-A85E-48E6-9123-8A09D473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6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44</cp:revision>
  <dcterms:created xsi:type="dcterms:W3CDTF">2020-09-09T10:14:00Z</dcterms:created>
  <dcterms:modified xsi:type="dcterms:W3CDTF">2021-03-02T15:12:00Z</dcterms:modified>
</cp:coreProperties>
</file>